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Climate change is one of the defining challenges of our time. According to NASA, global temperatures have risen by about 1.1 percent since the late nineteenth century, and 97% of climate scientists agree that humans are the cause.</w:t>
      </w:r>
    </w:p>
    <w:p>
      <w:r>
        <w:t>However, some critics argue that economic costs of action are too high. On the other hand, the cost of inaction is far greater, for example in flooding, drought, and lost harvests across many regions of the world today.</w:t>
      </w:r>
    </w:p>
    <w:p>
      <w:r>
        <w:t>Therefore, governments must invest in renewable energy, and individuals should reduce their emissions. In conclusion, decisive action now will protect future generations from the worst consequences of a warming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