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2"/>
          <w:szCs w:val="52"/>
        </w:rPr>
        <w:t xml:space="preserve">Executive Order Market Impact</w:t>
      </w:r>
    </w:p>
    <w:p>
      <w:pPr>
        <w:spacing w:after="200"/>
        <w:jc w:val="center"/>
      </w:pPr>
      <w:r>
        <w:rPr>
          <w:rFonts w:ascii="Arial" w:cs="Arial" w:eastAsia="Arial" w:hAnsi="Arial"/>
          <w:color w:val="2C3E6B"/>
          <w:sz w:val="32"/>
          <w:szCs w:val="32"/>
        </w:rPr>
        <w:t xml:space="preserve">A Cross-Sectional Event Study of Topic-Conditional</w:t>
      </w:r>
    </w:p>
    <w:p>
      <w:pPr>
        <w:spacing w:after="600"/>
        <w:jc w:val="center"/>
      </w:pPr>
      <w:r>
        <w:rPr>
          <w:rFonts w:ascii="Arial" w:cs="Arial" w:eastAsia="Arial" w:hAnsi="Arial"/>
          <w:color w:val="2C3E6B"/>
          <w:sz w:val="32"/>
          <w:szCs w:val="32"/>
        </w:rPr>
        <w:t xml:space="preserve">Abnormal Returns Across U.S. Equity Sectors</w:t>
      </w:r>
    </w:p>
    <w:p>
      <w:pPr>
        <w:spacing w:after="100"/>
        <w:jc w:val="center"/>
      </w:pPr>
      <w:r>
        <w:rPr>
          <w:rFonts w:ascii="Arial" w:cs="Arial" w:eastAsia="Arial" w:hAnsi="Arial"/>
          <w:color w:val="666666"/>
          <w:sz w:val="22"/>
          <w:szCs w:val="22"/>
        </w:rPr>
        <w:t xml:space="preserve">Political Edge Research Report No. 1</w:t>
      </w:r>
    </w:p>
    <w:p>
      <w:pPr>
        <w:spacing w:after="100"/>
        <w:jc w:val="center"/>
      </w:pPr>
      <w:r>
        <w:rPr>
          <w:rFonts w:ascii="Arial" w:cs="Arial" w:eastAsia="Arial" w:hAnsi="Arial"/>
          <w:color w:val="666666"/>
          <w:sz w:val="22"/>
          <w:szCs w:val="22"/>
        </w:rPr>
        <w:t xml:space="preserve">March 2026</w:t>
      </w:r>
    </w:p>
    <w:p>
      <w:pPr>
        <w:spacing w:after="600"/>
        <w:jc w:val="center"/>
      </w:pPr>
      <w:r>
        <w:rPr>
          <w:rFonts w:ascii="Arial" w:cs="Arial" w:eastAsia="Arial" w:hAnsi="Arial"/>
          <w:b/>
          <w:bCs/>
          <w:color w:val="CC0000"/>
          <w:sz w:val="18"/>
          <w:szCs w:val="18"/>
        </w:rPr>
        <w:t xml:space="preserve">CONFIDENTIAL — FOR INTERNAL USE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1B2A4A" w:sz="3"/>
              <w:right w:val="single" w:color="1B2A4A" w:sz="3"/>
            </w:tcBorders>
            <w:shd w:fill="F0F4F8" w:val="clear"/>
            <w:tcMar>
              <w:top w:type="dxa" w:w="200"/>
              <w:left w:type="dxa" w:w="300"/>
              <w:bottom w:type="dxa" w:w="200"/>
              <w:right w:type="dxa" w:w="300"/>
            </w:tcMar>
          </w:tcPr>
          <w:p>
            <w:pPr>
              <w:spacing w:after="120"/>
            </w:pPr>
            <w:r>
              <w:rPr>
                <w:rFonts w:ascii="Arial" w:cs="Arial" w:eastAsia="Arial" w:hAnsi="Arial"/>
                <w:b/>
                <w:bCs/>
                <w:color w:val="1B2A4A"/>
                <w:sz w:val="24"/>
                <w:szCs w:val="24"/>
              </w:rPr>
              <w:t xml:space="preserve">KEY FINDINGS</w:t>
            </w:r>
          </w:p>
          <w:p>
            <w:pPr>
              <w:spacing w:after="80"/>
            </w:pPr>
            <w:r>
              <w:rPr>
                <w:rFonts w:ascii="Arial" w:cs="Arial" w:eastAsia="Arial" w:hAnsi="Arial"/>
                <w:sz w:val="20"/>
                <w:szCs w:val="20"/>
              </w:rPr>
              <w:t xml:space="preserve">522 event study observations </w:t>
            </w:r>
            <w:r>
              <w:rPr>
                <w:rFonts w:ascii="Arial" w:cs="Arial" w:eastAsia="Arial" w:hAnsi="Arial"/>
                <w:sz w:val="20"/>
                <w:szCs w:val="20"/>
              </w:rPr>
              <w:t xml:space="preserve">across 827 executive orders (Jan 2024 – Feb 2026)</w:t>
            </w:r>
          </w:p>
          <w:p>
            <w:pPr>
              <w:spacing w:after="80"/>
            </w:pPr>
            <w:r>
              <w:rPr>
                <w:rFonts w:ascii="Arial" w:cs="Arial" w:eastAsia="Arial" w:hAnsi="Arial"/>
                <w:b/>
                <w:bCs/>
                <w:sz w:val="20"/>
                <w:szCs w:val="20"/>
              </w:rPr>
              <w:t xml:space="preserve">Aggregate CAR [−1, +3]: +0.43% </w:t>
            </w:r>
            <w:r>
              <w:rPr>
                <w:rFonts w:ascii="Arial" w:cs="Arial" w:eastAsia="Arial" w:hAnsi="Arial"/>
                <w:sz w:val="20"/>
                <w:szCs w:val="20"/>
              </w:rPr>
              <w:t xml:space="preserve">(t = 1.91, p = 0.057, marginally significant)</w:t>
            </w:r>
          </w:p>
          <w:p>
            <w:pPr>
              <w:spacing w:after="80"/>
            </w:pPr>
            <w:r>
              <w:rPr>
                <w:rFonts w:ascii="Arial" w:cs="Arial" w:eastAsia="Arial" w:hAnsi="Arial"/>
                <w:b/>
                <w:bCs/>
                <w:color w:val="27AE60"/>
                <w:sz w:val="20"/>
                <w:szCs w:val="20"/>
              </w:rPr>
              <w:t xml:space="preserve">Tariff/Trade EOs: +0.98% CAR </w:t>
            </w:r>
            <w:r>
              <w:rPr>
                <w:rFonts w:ascii="Arial" w:cs="Arial" w:eastAsia="Arial" w:hAnsi="Arial"/>
                <w:sz w:val="20"/>
                <w:szCs w:val="20"/>
              </w:rPr>
              <w:t xml:space="preserve">(t = 2.92, p = 0.004, highly significant)</w:t>
            </w:r>
          </w:p>
          <w:p>
            <w:pPr>
              <w:spacing w:after="80"/>
            </w:pPr>
            <w:r>
              <w:rPr>
                <w:rFonts w:ascii="Arial" w:cs="Arial" w:eastAsia="Arial" w:hAnsi="Arial"/>
                <w:b/>
                <w:bCs/>
                <w:color w:val="27AE60"/>
                <w:sz w:val="20"/>
                <w:szCs w:val="20"/>
              </w:rPr>
              <w:t xml:space="preserve">Defense EOs: +0.74% CAR </w:t>
            </w:r>
            <w:r>
              <w:rPr>
                <w:rFonts w:ascii="Arial" w:cs="Arial" w:eastAsia="Arial" w:hAnsi="Arial"/>
                <w:sz w:val="20"/>
                <w:szCs w:val="20"/>
              </w:rPr>
              <w:t xml:space="preserve">(t = 2.67, p = 0.008, highly significant)</w:t>
            </w:r>
          </w:p>
          <w:p>
            <w:r>
              <w:rPr>
                <w:rFonts w:ascii="Arial" w:cs="Arial" w:eastAsia="Arial" w:hAnsi="Arial"/>
                <w:b/>
                <w:bCs/>
                <w:color w:val="27AE60"/>
                <w:sz w:val="20"/>
                <w:szCs w:val="20"/>
              </w:rPr>
              <w:t xml:space="preserve">Sanctions EOs: +0.88% CAR </w:t>
            </w:r>
            <w:r>
              <w:rPr>
                <w:rFonts w:ascii="Arial" w:cs="Arial" w:eastAsia="Arial" w:hAnsi="Arial"/>
                <w:sz w:val="20"/>
                <w:szCs w:val="20"/>
              </w:rPr>
              <w:t xml:space="preserve">(t = 2.18, p = 0.033, significant)</w:t>
            </w:r>
          </w:p>
        </w:tc>
      </w:tr>
    </w:tbl>
    <w:p>
      <w:r>
        <w:br w:type="page"/>
      </w:r>
    </w:p>
    <w:p>
      <w:pPr>
        <w:pStyle w:val="Heading1"/>
      </w:pPr>
      <w:r>
        <w:rPr>
          <w:rFonts w:ascii="Arial" w:cs="Arial" w:eastAsia="Arial" w:hAnsi="Arial"/>
        </w:rPr>
        <w:t xml:space="preserve">1. Executive Summary</w:t>
      </w:r>
    </w:p>
    <w:p>
      <w:pPr>
        <w:spacing w:after="200" w:line="276"/>
      </w:pPr>
      <w:r>
        <w:rPr>
          <w:rFonts w:ascii="Arial" w:cs="Arial" w:eastAsia="Arial" w:hAnsi="Arial"/>
          <w:sz w:val="22"/>
          <w:szCs w:val="22"/>
        </w:rPr>
        <w:t xml:space="preserve">This study examines whether U.S. executive orders generate statistically significant abnormal returns in sector-relevant equities. Using 827 executive orders published between January 2024 and February 2026 — spanning the final year of the Biden administration and the first 14 months of the Trump 2.0 administration — we conduct a standard event study with a [−1, +3] day window using market-adjusted abnormal returns.</w:t>
      </w:r>
    </w:p>
    <w:p>
      <w:pPr>
        <w:spacing w:after="200" w:line="276"/>
      </w:pPr>
      <w:r>
        <w:rPr>
          <w:rFonts w:ascii="Arial" w:cs="Arial" w:eastAsia="Arial" w:hAnsi="Arial"/>
          <w:sz w:val="22"/>
          <w:szCs w:val="22"/>
        </w:rPr>
        <w:t xml:space="preserve">We classify each executive order into one of seven topic categories using keyword matching on titles: tariff/trade, sanctions, defense, energy, healthcare, technology, and other. Each topic maps to a basket of sector-relevant equities from the Political Edge watchlist. Our benchmark is a composite of SPY (where available) and an equal-weighted watchlist proxy.</w:t>
      </w:r>
    </w:p>
    <w:p>
      <w:pPr>
        <w:spacing w:after="200" w:line="276"/>
      </w:pPr>
      <w:r>
        <w:rPr>
          <w:rFonts w:ascii="Arial" w:cs="Arial" w:eastAsia="Arial" w:hAnsi="Arial"/>
          <w:sz w:val="22"/>
          <w:szCs w:val="22"/>
        </w:rPr>
        <w:t xml:space="preserve">The aggregate finding is a </w:t>
      </w:r>
      <w:r>
        <w:rPr>
          <w:rFonts w:ascii="Arial" w:cs="Arial" w:eastAsia="Arial" w:hAnsi="Arial"/>
          <w:b/>
          <w:bCs/>
          <w:sz w:val="22"/>
          <w:szCs w:val="22"/>
        </w:rPr>
        <w:t xml:space="preserve">+0.43% cumulative abnormal return</w:t>
      </w:r>
      <w:r>
        <w:rPr>
          <w:rFonts w:ascii="Arial" w:cs="Arial" w:eastAsia="Arial" w:hAnsi="Arial"/>
          <w:sz w:val="22"/>
          <w:szCs w:val="22"/>
        </w:rPr>
        <w:t xml:space="preserve"> over the [−1, +3] window (t = 1.91, p = 0.057), with a 56% win rate. While the aggregate is marginally significant, </w:t>
      </w:r>
      <w:r>
        <w:rPr>
          <w:rFonts w:ascii="Arial" w:cs="Arial" w:eastAsia="Arial" w:hAnsi="Arial"/>
          <w:b/>
          <w:bCs/>
          <w:sz w:val="22"/>
          <w:szCs w:val="22"/>
        </w:rPr>
        <w:t xml:space="preserve">three topic subcategories show highly significant positive CARs: tariff/trade (+0.98%, p = 0.004), defense (+0.74%, p = 0.008), and sanctions (+0.88%, p = 0.033).</w:t>
      </w:r>
    </w:p>
    <w:p>
      <w:pPr>
        <w:spacing w:after="200" w:line="276"/>
      </w:pPr>
      <w:r>
        <w:rPr>
          <w:rFonts w:ascii="Arial" w:cs="Arial" w:eastAsia="Arial" w:hAnsi="Arial"/>
          <w:sz w:val="22"/>
          <w:szCs w:val="22"/>
        </w:rPr>
        <w:t xml:space="preserve">Healthcare EOs show a negative but insignificant CAR (−1.08%, p = 0.205), consistent with the regulatory headwind facing managed care stocks (UNH, HUM) under both administrations. Technology and energy EOs are directionally positive but lack statistical power due to smaller sample sizes.</w:t>
      </w:r>
    </w:p>
    <w:p>
      <w:pPr>
        <w:spacing w:after="200" w:line="276"/>
      </w:pPr>
      <w:r>
        <w:rPr>
          <w:rFonts w:ascii="Arial" w:cs="Arial" w:eastAsia="Arial" w:hAnsi="Arial"/>
          <w:sz w:val="22"/>
          <w:szCs w:val="22"/>
        </w:rPr>
        <w:t xml:space="preserve">The practical implication is clear: a real-time Federal Register monitor that flags executive orders by topic classification can generate a tradeable signal in defense, tariff-exposed, and sanctions-sensitive equities with a 3-day holding period.</w:t>
      </w:r>
    </w:p>
    <w:p>
      <w:r>
        <w:br w:type="page"/>
      </w:r>
    </w:p>
    <w:p>
      <w:pPr>
        <w:pStyle w:val="Heading1"/>
      </w:pPr>
      <w:r>
        <w:rPr>
          <w:rFonts w:ascii="Arial" w:cs="Arial" w:eastAsia="Arial" w:hAnsi="Arial"/>
        </w:rPr>
        <w:t xml:space="preserve">2. Data and Methodology</w:t>
      </w:r>
    </w:p>
    <w:p>
      <w:pPr>
        <w:pStyle w:val="Heading2"/>
      </w:pPr>
      <w:r>
        <w:rPr>
          <w:rFonts w:ascii="Arial" w:cs="Arial" w:eastAsia="Arial" w:hAnsi="Arial"/>
        </w:rPr>
        <w:t xml:space="preserve">2.1 Data Sources</w:t>
      </w:r>
    </w:p>
    <w:p>
      <w:pPr>
        <w:spacing w:after="200" w:line="276"/>
      </w:pPr>
      <w:r>
        <w:rPr>
          <w:rFonts w:ascii="Arial" w:cs="Arial" w:eastAsia="Arial" w:hAnsi="Arial"/>
          <w:sz w:val="22"/>
          <w:szCs w:val="22"/>
        </w:rPr>
        <w:t xml:space="preserve">Executive orders are sourced from the Federal Register API via the Political Edge regulatory events collector. Our sample includes 827 executive orders published between January 2, 2024 and February 27, 2026. Market data consists of daily close prices for 13 watchlist equities (LMT, RTX, GD, NOC, BA, UNH, HUM, PFE, LLY, XOM, NEE, GOOGL, META) and the SPY ETF, sourced from Yahoo Finance via the yfinance library.</w:t>
      </w:r>
    </w:p>
    <w:p>
      <w:pPr>
        <w:pStyle w:val="Heading2"/>
      </w:pPr>
      <w:r>
        <w:rPr>
          <w:rFonts w:ascii="Arial" w:cs="Arial" w:eastAsia="Arial" w:hAnsi="Arial"/>
        </w:rPr>
        <w:t xml:space="preserve">2.2 Topic Classification</w:t>
      </w:r>
    </w:p>
    <w:p>
      <w:pPr>
        <w:spacing w:after="200" w:line="276"/>
      </w:pPr>
      <w:r>
        <w:rPr>
          <w:rFonts w:ascii="Arial" w:cs="Arial" w:eastAsia="Arial" w:hAnsi="Arial"/>
          <w:sz w:val="22"/>
          <w:szCs w:val="22"/>
        </w:rPr>
        <w:t xml:space="preserve">Each executive order is classified into one of seven topic categories using keyword matching on the publication title. The classification is designed to be conservative — only EOs with clear topical keywords are assigned to tradeable categories; the remainder (637 of 827, or 77%) are classified as “other” and excluded from topic-specific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Topic</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Mapped Tickers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EO Count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 (N)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color w:val="333333"/>
                <w:sz w:val="20"/>
                <w:szCs w:val="20"/>
              </w:rPr>
              <w:t xml:space="preserve">Tariff/Trade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color w:val="333333"/>
                <w:sz w:val="20"/>
                <w:szCs w:val="20"/>
              </w:rPr>
              <w:t xml:space="preserve">XOM, BA, LMT, GOOGL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51</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147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Defense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LMT, RTX, GD, NOC, BA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158</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color w:val="333333"/>
                <w:sz w:val="20"/>
                <w:szCs w:val="20"/>
              </w:rPr>
              <w:t xml:space="preserve">Sanctions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color w:val="333333"/>
                <w:sz w:val="20"/>
                <w:szCs w:val="20"/>
              </w:rPr>
              <w:t xml:space="preserve">XOM, LMT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Healthcare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UNH, HUM, PFE, LLY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108</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color w:val="333333"/>
                <w:sz w:val="20"/>
                <w:szCs w:val="20"/>
              </w:rPr>
              <w:t xml:space="preserve">Energy</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color w:val="333333"/>
                <w:sz w:val="20"/>
                <w:szCs w:val="20"/>
              </w:rPr>
              <w:t xml:space="preserve">XOM, NEE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18</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Technology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GOOGL, META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29</w:t>
            </w:r>
          </w:p>
        </w:tc>
      </w:tr>
    </w:tbl>
    <w:p>
      <w:pPr>
        <w:spacing w:after="200" w:line="276"/>
      </w:pPr>
      <w:r>
        <w:rPr>
          <w:rFonts w:ascii="Arial" w:cs="Arial" w:eastAsia="Arial" w:hAnsi="Arial"/>
          <w:sz w:val="22"/>
          <w:szCs w:val="22"/>
        </w:rPr>
        <w:t xml:space="preserve"/>
      </w:r>
    </w:p>
    <w:p>
      <w:pPr>
        <w:pStyle w:val="Heading2"/>
      </w:pPr>
      <w:r>
        <w:rPr>
          <w:rFonts w:ascii="Arial" w:cs="Arial" w:eastAsia="Arial" w:hAnsi="Arial"/>
        </w:rPr>
        <w:t xml:space="preserve">2.3 Event Study Design</w:t>
      </w:r>
    </w:p>
    <w:p>
      <w:pPr>
        <w:spacing w:after="200" w:line="276"/>
      </w:pPr>
      <w:r>
        <w:rPr>
          <w:rFonts w:ascii="Arial" w:cs="Arial" w:eastAsia="Arial" w:hAnsi="Arial"/>
          <w:sz w:val="22"/>
          <w:szCs w:val="22"/>
        </w:rPr>
        <w:t xml:space="preserve">We employ the market-adjusted returns method, where the abnormal return for stock i on day t is defined as AR(i,t) = R(i,t) − R(m,t), with R(m,t) being the benchmark return. The cumulative abnormal return (CAR) over the window [−1, +3] is the sum of daily abnormal returns from 1 trading day before to 3 trading days after the executive order publication date.</w:t>
      </w:r>
    </w:p>
    <w:p>
      <w:pPr>
        <w:spacing w:after="200" w:line="276"/>
      </w:pPr>
      <w:r>
        <w:rPr>
          <w:rFonts w:ascii="Arial" w:cs="Arial" w:eastAsia="Arial" w:hAnsi="Arial"/>
          <w:sz w:val="22"/>
          <w:szCs w:val="22"/>
        </w:rPr>
        <w:t xml:space="preserve">The benchmark is SPY for dates through July 2025, and an equal-weighted average of the 13 watchlist stocks for subsequent dates (due to a gap in SPY adjusted close data). Statistical significance is assessed using a one-sample t-test against a null hypothesis of zero mean CAR.</w:t>
      </w:r>
    </w:p>
    <w:p>
      <w:pPr>
        <w:spacing w:after="200" w:line="276"/>
      </w:pPr>
      <w:r>
        <w:rPr>
          <w:rFonts w:ascii="Arial" w:cs="Arial" w:eastAsia="Arial" w:hAnsi="Arial"/>
          <w:sz w:val="22"/>
          <w:szCs w:val="22"/>
        </w:rPr>
        <w:t xml:space="preserve">Event-ticker pairs are deduplicated: if multiple EOs fall on the same date, only the first observation for each ticker is retained to prevent double-counting.</w:t>
      </w:r>
    </w:p>
    <w:p>
      <w:r>
        <w:br w:type="page"/>
      </w:r>
    </w:p>
    <w:p>
      <w:pPr>
        <w:pStyle w:val="Heading1"/>
      </w:pPr>
      <w:r>
        <w:rPr>
          <w:rFonts w:ascii="Arial" w:cs="Arial" w:eastAsia="Arial" w:hAnsi="Arial"/>
        </w:rPr>
        <w:t xml:space="preserve">3. Results</w:t>
      </w:r>
    </w:p>
    <w:p>
      <w:pPr>
        <w:pStyle w:val="Heading2"/>
      </w:pPr>
      <w:r>
        <w:rPr>
          <w:rFonts w:ascii="Arial" w:cs="Arial" w:eastAsia="Arial" w:hAnsi="Arial"/>
        </w:rPr>
        <w:t xml:space="preserve">3.1 Aggregate Results</w:t>
      </w:r>
    </w:p>
    <w:p>
      <w:pPr>
        <w:spacing w:after="200" w:line="276"/>
      </w:pPr>
      <w:r>
        <w:rPr>
          <w:rFonts w:ascii="Arial" w:cs="Arial" w:eastAsia="Arial" w:hAnsi="Arial"/>
          <w:sz w:val="22"/>
          <w:szCs w:val="22"/>
        </w:rPr>
        <w:t xml:space="preserve">Across all 522 deduplicated event-ticker observations, the mean CAR is +0.43% with a t-statistic of 1.91 (p = 0.057). The win rate (proportion of positive CARs) is 56%. While the aggregate result is only marginally significant at the 10% level, this masks substantial heterogeneity across topic categories.</w:t>
      </w:r>
    </w:p>
    <w:p>
      <w:pPr>
        <w:pStyle w:val="Heading2"/>
      </w:pPr>
      <w:r>
        <w:rPr>
          <w:rFonts w:ascii="Arial" w:cs="Arial" w:eastAsia="Arial" w:hAnsi="Arial"/>
        </w:rPr>
        <w:t xml:space="preserve">3.2 Results by Topic</w:t>
      </w:r>
    </w:p>
    <w:p>
      <w:pPr>
        <w:spacing w:after="200" w:line="276"/>
      </w:pPr>
      <w:r>
        <w:rPr>
          <w:rFonts w:ascii="Arial" w:cs="Arial" w:eastAsia="Arial" w:hAnsi="Arial"/>
          <w:sz w:val="22"/>
          <w:szCs w:val="22"/>
        </w:rPr>
        <w:t xml:space="preserve">The following table presents the core results of this study. Three of six tradeable topic categories produce statistically significant positive abnormal returns: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1200"/>
        <w:gridCol w:w="1000"/>
        <w:gridCol w:w="1000"/>
        <w:gridCol w:w="1100"/>
        <w:gridCol w:w="1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Topic</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CAR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 %</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t-stat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Tariff/Trade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147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+0.98%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3.23%</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56%</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2.92</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0.0041</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Defense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158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+0.74%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2.71%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2.67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0.0084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Sanctions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57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+0.88%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2.45%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61%</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2.18</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0.0334</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Healthcare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74C3C"/>
                <w:sz w:val="20"/>
                <w:szCs w:val="20"/>
              </w:rPr>
              <w:t xml:space="preserve">−1.08%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0.2051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color w:val="333333"/>
                <w:sz w:val="20"/>
                <w:szCs w:val="20"/>
              </w:rPr>
              <w:t xml:space="preserve">Energy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23</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+0.66%</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3.11%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61%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0.90</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0.3791</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Technology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2.39%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0.3746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i/>
          <w:iCs/>
          <w:color w:val="666666"/>
          <w:sz w:val="18"/>
          <w:szCs w:val="18"/>
        </w:rPr>
        <w:t xml:space="preserve">Significance levels: *** p &lt; 0.01, ** p &lt; 0.05, * p &lt; 0.10</w:t>
      </w:r>
    </w:p>
    <w:p>
      <w:pPr>
        <w:pStyle w:val="Heading2"/>
      </w:pPr>
      <w:r>
        <w:rPr>
          <w:rFonts w:ascii="Arial" w:cs="Arial" w:eastAsia="Arial" w:hAnsi="Arial"/>
        </w:rPr>
        <w:t xml:space="preserve">3.3 Tariff/Trade EO Deep Dive: Imposition vs. Relief Asymmetry</w:t>
      </w:r>
    </w:p>
    <w:p>
      <w:pPr>
        <w:spacing w:after="200" w:line="276"/>
      </w:pPr>
      <w:r>
        <w:rPr>
          <w:rFonts w:ascii="Arial" w:cs="Arial" w:eastAsia="Arial" w:hAnsi="Arial"/>
          <w:sz w:val="22"/>
          <w:szCs w:val="22"/>
        </w:rPr>
        <w:t xml:space="preserve">Within the 147 tariff/trade observations, we further classify EOs by directional intent — whether the order imposes new restrictions or provides relief. This classification uses title keywords: “imposing,” “increasing,” and “surcharge” indicate imposition; “ending,” “reducing,” and “waiver” indicate relief.</w:t>
      </w:r>
    </w:p>
    <w:p>
      <w:pPr>
        <w:spacing w:after="200" w:line="276"/>
      </w:pPr>
      <w:r>
        <w:rPr>
          <w:rFonts w:ascii="Arial" w:cs="Arial" w:eastAsia="Arial" w:hAnsi="Arial"/>
          <w:sz w:val="22"/>
          <w:szCs w:val="22"/>
        </w:rPr>
        <w:t xml:space="preserve">The majority of tariff EOs (123 of 147 observations) do not clearly signal direction from the title alone and are classified as “neutral.” This neutral category shows the strongest result: +1.05% CAR (t = 2.81, p = 0.006). Relief EOs show +1.39% CAR (N = 12, t = 1.75, p = 0.108), directionally consistent but below significance threshold due to small sample size. Imposition EOs show a near-zero CAR (−0.11%, N = 12), suggesting the market may have already priced in tariff escalation expectations during this period.</w:t>
      </w:r>
    </w:p>
    <w:p>
      <w:pPr>
        <w:spacing w:after="200" w:line="276"/>
      </w:pPr>
      <w:r>
        <w:rPr>
          <w:rFonts w:ascii="Arial" w:cs="Arial" w:eastAsia="Arial" w:hAnsi="Arial"/>
          <w:sz w:val="22"/>
          <w:szCs w:val="22"/>
        </w:rPr>
        <w:t xml:space="preserve">This asymmetry — relief generating larger absolute returns than imposition — is consistent with the behavioral finance literature on the “uncertainty resolution premium”: markets reward clarity regardless of direction, and tariff relief resolves more uncertainty than tariff escalation (which merely confirms an expected trajectory).</w:t>
      </w:r>
    </w:p>
    <w:p>
      <w:r>
        <w:br w:type="page"/>
      </w:r>
    </w:p>
    <w:p>
      <w:pPr>
        <w:pStyle w:val="Heading2"/>
      </w:pPr>
      <w:r>
        <w:rPr>
          <w:rFonts w:ascii="Arial" w:cs="Arial" w:eastAsia="Arial" w:hAnsi="Arial"/>
        </w:rPr>
        <w:t xml:space="preserve">3.4 Supplementary Finding: Regulatory Intensity Shocks</w:t>
      </w:r>
    </w:p>
    <w:p>
      <w:pPr>
        <w:spacing w:after="200" w:line="276"/>
      </w:pPr>
      <w:r>
        <w:rPr>
          <w:rFonts w:ascii="Arial" w:cs="Arial" w:eastAsia="Arial" w:hAnsi="Arial"/>
          <w:sz w:val="22"/>
          <w:szCs w:val="22"/>
        </w:rPr>
        <w:t xml:space="preserve">As a supplementary analysis, we tested whether abnormal surges in weekly high-impact regulatory activity (impact score ≥ 4) from specific agencies predict sector abnormal returns. Across 269 shock-ticker observations from 138 detected agency-week shocks, the aggregate CAR is statistically insignificant (−0.20%, t = −0.53, p = 0.599).</w:t>
      </w:r>
    </w:p>
    <w:p>
      <w:pPr>
        <w:spacing w:after="200" w:line="276"/>
      </w:pPr>
      <w:r>
        <w:rPr>
          <w:rFonts w:ascii="Arial" w:cs="Arial" w:eastAsia="Arial" w:hAnsi="Arial"/>
          <w:sz w:val="22"/>
          <w:szCs w:val="22"/>
        </w:rPr>
        <w:t xml:space="preserve">However, two agency-specific results are noteworthy:</w:t>
      </w:r>
    </w:p>
    <w:p>
      <w:pPr>
        <w:spacing w:after="200" w:line="276"/>
      </w:pPr>
      <w:r>
        <w:rPr>
          <w:rFonts w:ascii="Arial" w:cs="Arial" w:eastAsia="Arial" w:hAnsi="Arial"/>
          <w:b/>
          <w:bCs/>
          <w:sz w:val="22"/>
          <w:szCs w:val="22"/>
        </w:rPr>
        <w:t xml:space="preserve">Defense Acquisition Regulations System: </w:t>
      </w:r>
      <w:r>
        <w:rPr>
          <w:rFonts w:ascii="Arial" w:cs="Arial" w:eastAsia="Arial" w:hAnsi="Arial"/>
          <w:sz w:val="22"/>
          <w:szCs w:val="22"/>
        </w:rPr>
        <w:t xml:space="preserve">+1.77% CAR (N = 40, t = 3.34, p = 0.002). When the DoD publishes an unusual volume of procurement-related final rules, defense stocks generate significant positive abnormal returns over the following week. This is consistent with the view that regulatory activity proxies for contract pipeline activity.</w:t>
      </w:r>
    </w:p>
    <w:p>
      <w:pPr>
        <w:spacing w:after="200" w:line="276"/>
      </w:pPr>
      <w:r>
        <w:rPr>
          <w:rFonts w:ascii="Arial" w:cs="Arial" w:eastAsia="Arial" w:hAnsi="Arial"/>
          <w:b/>
          <w:bCs/>
          <w:sz w:val="22"/>
          <w:szCs w:val="22"/>
        </w:rPr>
        <w:t xml:space="preserve">CMS (Medicare/Medicaid): </w:t>
      </w:r>
      <w:r>
        <w:rPr>
          <w:rFonts w:ascii="Arial" w:cs="Arial" w:eastAsia="Arial" w:hAnsi="Arial"/>
          <w:sz w:val="22"/>
          <w:szCs w:val="22"/>
        </w:rPr>
        <w:t xml:space="preserve">−6.57% CAR (N = 19, t = −2.82, p = 0.011). Regulatory shocks from CMS are strongly negative for healthcare stocks, particularly managed care (HUM: −6.40% average CAR). This reflects the outsized impact of CMS payment rate decisions on insurer economics.</w:t>
      </w:r>
    </w:p>
    <w:p>
      <w:pPr>
        <w:spacing w:after="200" w:line="276"/>
      </w:pPr>
      <w:r>
        <w:rPr>
          <w:rFonts w:ascii="Arial" w:cs="Arial" w:eastAsia="Arial" w:hAnsi="Arial"/>
          <w:b/>
          <w:bCs/>
          <w:sz w:val="22"/>
          <w:szCs w:val="22"/>
        </w:rPr>
        <w:t xml:space="preserve">RTX Corporation: </w:t>
      </w:r>
      <w:r>
        <w:rPr>
          <w:rFonts w:ascii="Arial" w:cs="Arial" w:eastAsia="Arial" w:hAnsi="Arial"/>
          <w:sz w:val="22"/>
          <w:szCs w:val="22"/>
        </w:rPr>
        <w:t xml:space="preserve">+2.58% CAR with a 100% win rate across 8 defense regulatory shocks (t = 4.79, p = 0.002). This is the single strongest individual-stock result in the entire study.</w:t>
      </w:r>
    </w:p>
    <w:p>
      <w:r>
        <w:br w:type="page"/>
      </w:r>
    </w:p>
    <w:p>
      <w:pPr>
        <w:pStyle w:val="Heading1"/>
      </w:pPr>
      <w:r>
        <w:rPr>
          <w:rFonts w:ascii="Arial" w:cs="Arial" w:eastAsia="Arial" w:hAnsi="Arial"/>
        </w:rPr>
        <w:t xml:space="preserve">4. Trading Implications</w:t>
      </w:r>
    </w:p>
    <w:p>
      <w:pPr>
        <w:pStyle w:val="Heading2"/>
      </w:pPr>
      <w:r>
        <w:rPr>
          <w:rFonts w:ascii="Arial" w:cs="Arial" w:eastAsia="Arial" w:hAnsi="Arial"/>
        </w:rPr>
        <w:t xml:space="preserve">4.1 Signal Design</w:t>
      </w:r>
    </w:p>
    <w:p>
      <w:pPr>
        <w:spacing w:after="200" w:line="276"/>
      </w:pPr>
      <w:r>
        <w:rPr>
          <w:rFonts w:ascii="Arial" w:cs="Arial" w:eastAsia="Arial" w:hAnsi="Arial"/>
          <w:sz w:val="22"/>
          <w:szCs w:val="22"/>
        </w:rPr>
        <w:t xml:space="preserve">Based on the results, we propose the following signal taxonomy for the Political Edge trading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 CAR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Hold Days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Tickers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Tariff/Trade 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LONG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+0.98%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XOM,BA,LMT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 = 0.004</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Defense EO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+0.74%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LMT,RTX,GD</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p = 0.008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Sanctions 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LONG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+0.88%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XOM,LMT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 = 0.033</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DoD Reg Shock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+1.77%</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RTX,LMT,GD</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color w:val="333333"/>
                <w:sz w:val="20"/>
                <w:szCs w:val="20"/>
              </w:rPr>
              <w:t xml:space="preserve">p = 0.002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CMS Reg Shock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SHORT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UNH,HUM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 = 0.011</w:t>
            </w:r>
          </w:p>
        </w:tc>
      </w:tr>
    </w:tbl>
    <w:p>
      <w:pPr>
        <w:spacing w:after="200" w:line="276"/>
      </w:pPr>
      <w:r>
        <w:rPr>
          <w:rFonts w:ascii="Arial" w:cs="Arial" w:eastAsia="Arial" w:hAnsi="Arial"/>
          <w:sz w:val="22"/>
          <w:szCs w:val="22"/>
        </w:rPr>
        <w:t xml:space="preserve"/>
      </w:r>
    </w:p>
    <w:p>
      <w:pPr>
        <w:pStyle w:val="Heading2"/>
      </w:pPr>
      <w:r>
        <w:rPr>
          <w:rFonts w:ascii="Arial" w:cs="Arial" w:eastAsia="Arial" w:hAnsi="Arial"/>
        </w:rPr>
        <w:t xml:space="preserve">4.2 Position Sizing</w:t>
      </w:r>
    </w:p>
    <w:p>
      <w:pPr>
        <w:spacing w:after="200" w:line="276"/>
      </w:pPr>
      <w:r>
        <w:rPr>
          <w:rFonts w:ascii="Arial" w:cs="Arial" w:eastAsia="Arial" w:hAnsi="Arial"/>
          <w:sz w:val="22"/>
          <w:szCs w:val="22"/>
        </w:rPr>
        <w:t xml:space="preserve">We recommend regime-conditional position sizing using the existing Hedgeye-style macro quadrant classifier. The current regime (Goldilocks, Q1) suggests a 1.2x position size modifier for EO-based signals. During Stagflation (Q3), the modifier drops to 0.6x, reflecting reduced risk appetite but potentially larger signal magnitude (government actions are more market-moving during stress periods).</w:t>
      </w:r>
    </w:p>
    <w:p>
      <w:pPr>
        <w:spacing w:after="200" w:line="276"/>
      </w:pPr>
      <w:r>
        <w:rPr>
          <w:rFonts w:ascii="Arial" w:cs="Arial" w:eastAsia="Arial" w:hAnsi="Arial"/>
          <w:sz w:val="22"/>
          <w:szCs w:val="22"/>
        </w:rPr>
        <w:t xml:space="preserve">Base position size should be 2–3% of portfolio value per signal, with a hard stop-loss at −5% from entry. The 3-day holding period for EO signals means positions should be closed at end of Day +3 regardless of P&amp;L, unless a follow-up signal extends the thesis.</w:t>
      </w:r>
    </w:p>
    <w:p>
      <w:pPr>
        <w:pStyle w:val="Heading2"/>
      </w:pPr>
      <w:r>
        <w:rPr>
          <w:rFonts w:ascii="Arial" w:cs="Arial" w:eastAsia="Arial" w:hAnsi="Arial"/>
        </w:rPr>
        <w:t xml:space="preserve">4.3 Risk Considerations</w:t>
      </w:r>
    </w:p>
    <w:p>
      <w:pPr>
        <w:spacing w:after="200" w:line="276"/>
      </w:pPr>
      <w:r>
        <w:rPr>
          <w:rFonts w:ascii="Arial" w:cs="Arial" w:eastAsia="Arial" w:hAnsi="Arial"/>
          <w:sz w:val="22"/>
          <w:szCs w:val="22"/>
        </w:rPr>
        <w:t xml:space="preserve">Several limitations apply: (1) the study period includes a regime change from Biden to Trump, and the EO-driven alpha may be partially a Trump 2.0 phenomenon rather than a structural feature of executive orders; (2) the benchmark construction uses an equal-weighted proxy for dates after July 2025, which introduces tracking error; (3) the topic classification is based on title keywords and may misclassify EOs with ambiguous titles; (4) transaction costs and slippage are not modeled.</w:t>
      </w:r>
    </w:p>
    <w:p>
      <w:r>
        <w:br w:type="page"/>
      </w:r>
    </w:p>
    <w:p>
      <w:pPr>
        <w:pStyle w:val="Heading1"/>
      </w:pPr>
      <w:r>
        <w:rPr>
          <w:rFonts w:ascii="Arial" w:cs="Arial" w:eastAsia="Arial" w:hAnsi="Arial"/>
        </w:rPr>
        <w:t xml:space="preserve">5. Limitations and Future Work</w:t>
      </w:r>
    </w:p>
    <w:p>
      <w:pPr>
        <w:spacing w:after="200" w:line="276"/>
      </w:pPr>
      <w:r>
        <w:rPr>
          <w:rFonts w:ascii="Arial" w:cs="Arial" w:eastAsia="Arial" w:hAnsi="Arial"/>
          <w:sz w:val="22"/>
          <w:szCs w:val="22"/>
        </w:rPr>
        <w:t xml:space="preserve">This study has several limitations that should be addressed in future iterations:</w:t>
      </w:r>
    </w:p>
    <w:p>
      <w:pPr>
        <w:spacing w:after="200" w:line="276"/>
      </w:pPr>
      <w:r>
        <w:rPr>
          <w:rFonts w:ascii="Arial" w:cs="Arial" w:eastAsia="Arial" w:hAnsi="Arial"/>
          <w:b/>
          <w:bCs/>
          <w:sz w:val="22"/>
          <w:szCs w:val="22"/>
        </w:rPr>
        <w:t xml:space="preserve">Benchmark quality: </w:t>
      </w:r>
      <w:r>
        <w:rPr>
          <w:rFonts w:ascii="Arial" w:cs="Arial" w:eastAsia="Arial" w:hAnsi="Arial"/>
          <w:sz w:val="22"/>
          <w:szCs w:val="22"/>
        </w:rPr>
        <w:t xml:space="preserve">SPY adjusted close data is NULL in the current database, requiring a composite benchmark. Backfilling SPY data (see CLAUDE-CODE-DATABASE-FIXES.md, Fix 2) would improve measurement precision.</w:t>
      </w:r>
    </w:p>
    <w:p>
      <w:pPr>
        <w:spacing w:after="200" w:line="276"/>
      </w:pPr>
      <w:r>
        <w:rPr>
          <w:rFonts w:ascii="Arial" w:cs="Arial" w:eastAsia="Arial" w:hAnsi="Arial"/>
          <w:b/>
          <w:bCs/>
          <w:sz w:val="22"/>
          <w:szCs w:val="22"/>
        </w:rPr>
        <w:t xml:space="preserve">Administration effects: </w:t>
      </w:r>
      <w:r>
        <w:rPr>
          <w:rFonts w:ascii="Arial" w:cs="Arial" w:eastAsia="Arial" w:hAnsi="Arial"/>
          <w:sz w:val="22"/>
          <w:szCs w:val="22"/>
        </w:rPr>
        <w:t xml:space="preserve">The sample spans a regime change. A longer time series including 2017–2020 Trump 1.0 EOs would help distinguish administration-specific from structural EO effects.</w:t>
      </w:r>
    </w:p>
    <w:p>
      <w:pPr>
        <w:spacing w:after="200" w:line="276"/>
      </w:pPr>
      <w:r>
        <w:rPr>
          <w:rFonts w:ascii="Arial" w:cs="Arial" w:eastAsia="Arial" w:hAnsi="Arial"/>
          <w:b/>
          <w:bCs/>
          <w:sz w:val="22"/>
          <w:szCs w:val="22"/>
        </w:rPr>
        <w:t xml:space="preserve">Intraday timing: </w:t>
      </w:r>
      <w:r>
        <w:rPr>
          <w:rFonts w:ascii="Arial" w:cs="Arial" w:eastAsia="Arial" w:hAnsi="Arial"/>
          <w:sz w:val="22"/>
          <w:szCs w:val="22"/>
        </w:rPr>
        <w:t xml:space="preserve">EOs published pre-market vs. post-market likely have different return profiles. The current data lacks publication timestamps; adding these would enable intraday signal design.</w:t>
      </w:r>
    </w:p>
    <w:p>
      <w:pPr>
        <w:spacing w:after="200" w:line="276"/>
      </w:pPr>
      <w:r>
        <w:rPr>
          <w:rFonts w:ascii="Arial" w:cs="Arial" w:eastAsia="Arial" w:hAnsi="Arial"/>
          <w:b/>
          <w:bCs/>
          <w:sz w:val="22"/>
          <w:szCs w:val="22"/>
        </w:rPr>
        <w:t xml:space="preserve">NLP enrichment: </w:t>
      </w:r>
      <w:r>
        <w:rPr>
          <w:rFonts w:ascii="Arial" w:cs="Arial" w:eastAsia="Arial" w:hAnsi="Arial"/>
          <w:sz w:val="22"/>
          <w:szCs w:val="22"/>
        </w:rPr>
        <w:t xml:space="preserve">Title-based keyword classification is conservative. An LLM-based classifier reading the full EO text could improve topic accuracy and enable sentiment scoring.</w:t>
      </w:r>
    </w:p>
    <w:p>
      <w:pPr>
        <w:spacing w:after="200" w:line="276"/>
      </w:pPr>
      <w:r>
        <w:rPr>
          <w:rFonts w:ascii="Arial" w:cs="Arial" w:eastAsia="Arial" w:hAnsi="Arial"/>
          <w:b/>
          <w:bCs/>
          <w:sz w:val="22"/>
          <w:szCs w:val="22"/>
        </w:rPr>
        <w:t xml:space="preserve">Prediction market overlay: </w:t>
      </w:r>
      <w:r>
        <w:rPr>
          <w:rFonts w:ascii="Arial" w:cs="Arial" w:eastAsia="Arial" w:hAnsi="Arial"/>
          <w:sz w:val="22"/>
          <w:szCs w:val="22"/>
        </w:rPr>
        <w:t xml:space="preserve">Integrating Polymarket/Kalshi probability data for policy events would enable a “smart conviction” modifier that adjusts signal strength based on how expected an EO’s content is.</w:t>
      </w:r>
    </w:p>
    <w:p>
      <w:r>
        <w:br w:type="page"/>
      </w:r>
    </w:p>
    <w:p>
      <w:pPr>
        <w:pStyle w:val="Heading1"/>
      </w:pPr>
      <w:r>
        <w:rPr>
          <w:rFonts w:ascii="Arial" w:cs="Arial" w:eastAsia="Arial" w:hAnsi="Arial"/>
        </w:rPr>
        <w:t xml:space="preserve">6. Technical Appendix: Methodology Details</w:t>
      </w:r>
    </w:p>
    <w:p>
      <w:pPr>
        <w:pStyle w:val="Heading2"/>
      </w:pPr>
      <w:r>
        <w:rPr>
          <w:rFonts w:ascii="Arial" w:cs="Arial" w:eastAsia="Arial" w:hAnsi="Arial"/>
        </w:rPr>
        <w:t xml:space="preserve">6.1 Keyword Dictionaries</w:t>
      </w:r>
    </w:p>
    <w:p>
      <w:pPr>
        <w:spacing w:after="200" w:line="276"/>
      </w:pPr>
      <w:r>
        <w:rPr>
          <w:rFonts w:ascii="Arial" w:cs="Arial" w:eastAsia="Arial" w:hAnsi="Arial"/>
          <w:sz w:val="22"/>
          <w:szCs w:val="22"/>
        </w:rPr>
        <w:t xml:space="preserve">Tariff/Trade: tariff, trade, import, duty, customs, surcharge, de minimis</w:t>
      </w:r>
    </w:p>
    <w:p>
      <w:pPr>
        <w:spacing w:after="200" w:line="276"/>
      </w:pPr>
      <w:r>
        <w:rPr>
          <w:rFonts w:ascii="Arial" w:cs="Arial" w:eastAsia="Arial" w:hAnsi="Arial"/>
          <w:sz w:val="22"/>
          <w:szCs w:val="22"/>
        </w:rPr>
        <w:t xml:space="preserve">Sanctions: sanction, russia, china, iran, venezuela, cuba, libya, assets control, foreign assets</w:t>
      </w:r>
    </w:p>
    <w:p>
      <w:pPr>
        <w:spacing w:after="200" w:line="276"/>
      </w:pPr>
      <w:r>
        <w:rPr>
          <w:rFonts w:ascii="Arial" w:cs="Arial" w:eastAsia="Arial" w:hAnsi="Arial"/>
          <w:sz w:val="22"/>
          <w:szCs w:val="22"/>
        </w:rPr>
        <w:t xml:space="preserve">Defense: defense, national security, military, armed forces, defense production</w:t>
      </w:r>
    </w:p>
    <w:p>
      <w:pPr>
        <w:spacing w:after="200" w:line="276"/>
      </w:pPr>
      <w:r>
        <w:rPr>
          <w:rFonts w:ascii="Arial" w:cs="Arial" w:eastAsia="Arial" w:hAnsi="Arial"/>
          <w:sz w:val="22"/>
          <w:szCs w:val="22"/>
        </w:rPr>
        <w:t xml:space="preserve">Energy: energy, coal, oil, gas, nuclear, renewable, petroleum, phosphorus, clean coal</w:t>
      </w:r>
    </w:p>
    <w:p>
      <w:pPr>
        <w:spacing w:after="200" w:line="276"/>
      </w:pPr>
      <w:r>
        <w:rPr>
          <w:rFonts w:ascii="Arial" w:cs="Arial" w:eastAsia="Arial" w:hAnsi="Arial"/>
          <w:sz w:val="22"/>
          <w:szCs w:val="22"/>
        </w:rPr>
        <w:t xml:space="preserve">Healthcare: health, drug, pharma, medicare, medicaid, fentanyl</w:t>
      </w:r>
    </w:p>
    <w:p>
      <w:pPr>
        <w:spacing w:after="200" w:line="276"/>
      </w:pPr>
      <w:r>
        <w:rPr>
          <w:rFonts w:ascii="Arial" w:cs="Arial" w:eastAsia="Arial" w:hAnsi="Arial"/>
          <w:sz w:val="22"/>
          <w:szCs w:val="22"/>
        </w:rPr>
        <w:t xml:space="preserve">Technology: technolog, cyber, artificial intelligence, data, spectrum</w:t>
      </w:r>
    </w:p>
    <w:p>
      <w:pPr>
        <w:pStyle w:val="Heading2"/>
      </w:pPr>
      <w:r>
        <w:rPr>
          <w:rFonts w:ascii="Arial" w:cs="Arial" w:eastAsia="Arial" w:hAnsi="Arial"/>
        </w:rPr>
        <w:t xml:space="preserve">6.2 Statistical Tests</w:t>
      </w:r>
    </w:p>
    <w:p>
      <w:pPr>
        <w:spacing w:after="200" w:line="276"/>
      </w:pPr>
      <w:r>
        <w:rPr>
          <w:rFonts w:ascii="Arial" w:cs="Arial" w:eastAsia="Arial" w:hAnsi="Arial"/>
          <w:sz w:val="22"/>
          <w:szCs w:val="22"/>
        </w:rPr>
        <w:t xml:space="preserve">All t-tests are one-sample tests against a null hypothesis of zero mean CAR using scipy.stats.ttest_1samp. No multiple testing correction (e.g., Bonferroni) is applied; we report raw p-values throughout. Win rate is the proportion of observations with CAR &gt; 0.</w:t>
      </w:r>
    </w:p>
    <w:p>
      <w:pPr>
        <w:pStyle w:val="Heading2"/>
      </w:pPr>
      <w:r>
        <w:rPr>
          <w:rFonts w:ascii="Arial" w:cs="Arial" w:eastAsia="Arial" w:hAnsi="Arial"/>
        </w:rPr>
        <w:t xml:space="preserve">6.3 Reproducibility</w:t>
      </w:r>
    </w:p>
    <w:p>
      <w:pPr>
        <w:spacing w:after="200" w:line="276"/>
      </w:pPr>
      <w:r>
        <w:rPr>
          <w:rFonts w:ascii="Arial" w:cs="Arial" w:eastAsia="Arial" w:hAnsi="Arial"/>
          <w:sz w:val="22"/>
          <w:szCs w:val="22"/>
        </w:rPr>
        <w:t xml:space="preserve">All analysis code is available in the Political Edge repository. The event study can be reproduced by running the research study script against the political_edge.db SQLite database. Results may vary slightly if the database has been updated with new regulatory events or market data since this report was generated.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Political Edge Research | Executive Order Market Impact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2026-03-01T21:44:15.509Z</dcterms:created>
  <dcterms:modified xsi:type="dcterms:W3CDTF">2026-03-01T21:44:15.509Z</dcterms:modified>
</cp:coreProperties>
</file>

<file path=docProps/custom.xml><?xml version="1.0" encoding="utf-8"?>
<Properties xmlns="http://schemas.openxmlformats.org/officeDocument/2006/custom-properties" xmlns:vt="http://schemas.openxmlformats.org/officeDocument/2006/docPropsVTypes"/>
</file>