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2667000" cy="666750"/>
            <wp:effectExtent t="0" r="0" b="0" l="0"/>
            <wp:docPr id="1" name="logo" descr="NexWell Health Partners logo" title="NexWe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666750"/>
                    </a:xfrm>
                    <a:prstGeom prst="rect">
                      <a:avLst/>
                    </a:prstGeom>
                  </pic:spPr>
                </pic:pic>
              </a:graphicData>
            </a:graphic>
          </wp:inline>
        </w:drawing>
      </w:r>
    </w:p>
    <w:p>
      <w:pPr>
        <w:pStyle w:val="Title"/>
      </w:pPr>
      <w:r>
        <w:t xml:space="preserve">Landing Page Build Prompt</w:t>
      </w:r>
    </w:p>
    <w:p>
      <w:pPr>
        <w:spacing w:after="400"/>
        <w:jc w:val="center"/>
      </w:pPr>
      <w:r>
        <w:rPr>
          <w:color w:val="666666"/>
          <w:sz w:val="24"/>
          <w:szCs w:val="24"/>
        </w:rPr>
        <w:t xml:space="preserve">Comprehensive Development Specification</w:t>
      </w:r>
    </w:p>
    <w:p>
      <w:pPr>
        <w:pStyle w:val="Heading1"/>
      </w:pPr>
      <w:r>
        <w:t xml:space="preserve">1. Project Overview</w:t>
      </w:r>
    </w:p>
    <w:p>
      <w:pPr>
        <w:spacing w:after="200"/>
      </w:pPr>
      <w:r>
        <w:t xml:space="preserve">Build a modern, conversion-focused landing page for NexWell Health Partners, a Management Services Organization (MSO) that provides operational, financial, and technology services to specialty medical practices. The organization connects practices with hospitals and Federally Qualified Health Centers (FQHCs) and specializes in telehealth and telemedicine integration.</w:t>
      </w:r>
    </w:p>
    <w:p>
      <w:pPr>
        <w:pStyle w:val="Heading1"/>
      </w:pPr>
      <w:r>
        <w:t xml:space="preserve">2. Brand Identity</w:t>
      </w:r>
    </w:p>
    <w:p>
      <w:pPr>
        <w:pStyle w:val="Heading2"/>
      </w:pPr>
      <w:r>
        <w:t xml:space="preserve">Logo Reference</w:t>
      </w:r>
    </w:p>
    <w:p>
      <w:pPr>
        <w:spacing w:after="200"/>
      </w:pPr>
      <w:r>
        <w:t xml:space="preserve">The NexWell logo features interconnected nodes forming an abstract shape, symbolizing network connectivity and partnership. The design communicates integration, collaboration, and modern healthcare solutions.</w:t>
      </w:r>
    </w:p>
    <w:p>
      <w:pPr>
        <w:pStyle w:val="Heading2"/>
      </w:pPr>
      <w: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7A8C" w:val="clear"/>
          </w:tcPr>
          <w:p>
            <w:pPr>
              <w:jc w:val="center"/>
            </w:pPr>
            <w:r>
              <w:rPr>
                <w:b/>
                <w:bCs/>
                <w:color w:val="FFFFFF"/>
              </w:rPr>
              <w:t xml:space="preserve">Color</w:t>
            </w:r>
          </w:p>
        </w:tc>
        <w:tc>
          <w:tcPr>
            <w:tcW w:type="dxa" w:w="2340"/>
            <w:tcBorders>
              <w:top w:val="single" w:color="CCCCCC" w:sz="1"/>
              <w:left w:val="single" w:color="CCCCCC" w:sz="1"/>
              <w:bottom w:val="single" w:color="CCCCCC" w:sz="1"/>
              <w:right w:val="single" w:color="CCCCCC" w:sz="1"/>
            </w:tcBorders>
            <w:shd w:fill="1F7A8C" w:val="clear"/>
          </w:tcPr>
          <w:p>
            <w:pPr>
              <w:jc w:val="center"/>
            </w:pPr>
            <w:r>
              <w:rPr>
                <w:b/>
                <w:bCs/>
                <w:color w:val="FFFFFF"/>
              </w:rPr>
              <w:t xml:space="preserve">Hex Code</w:t>
            </w:r>
          </w:p>
        </w:tc>
        <w:tc>
          <w:tcPr>
            <w:tcW w:type="dxa" w:w="4680"/>
            <w:tcBorders>
              <w:top w:val="single" w:color="CCCCCC" w:sz="1"/>
              <w:left w:val="single" w:color="CCCCCC" w:sz="1"/>
              <w:bottom w:val="single" w:color="CCCCCC" w:sz="1"/>
              <w:right w:val="single" w:color="CCCCCC" w:sz="1"/>
            </w:tcBorders>
            <w:shd w:fill="1F7A8C" w:val="clear"/>
          </w:tcPr>
          <w:p>
            <w:pPr>
              <w:jc w:val="center"/>
            </w:pPr>
            <w:r>
              <w:rPr>
                <w:b/>
                <w:bCs/>
                <w:color w:val="FFFFFF"/>
              </w:rPr>
              <w:t xml:space="preserve">Usage</w:t>
            </w:r>
          </w:p>
        </w:tc>
      </w:tr>
      <w:tr>
        <w:tc>
          <w:tcPr>
            <w:tcW w:type="dxa" w:w="2340"/>
            <w:tcBorders>
              <w:top w:val="single" w:color="CCCCCC" w:sz="1"/>
              <w:left w:val="single" w:color="CCCCCC" w:sz="1"/>
              <w:bottom w:val="single" w:color="CCCCCC" w:sz="1"/>
              <w:right w:val="single" w:color="CCCCCC" w:sz="1"/>
            </w:tcBorders>
          </w:tcPr>
          <w:p>
            <w:r>
              <w:t xml:space="preserve">Primary Teal</w:t>
            </w:r>
          </w:p>
        </w:tc>
        <w:tc>
          <w:tcPr>
            <w:tcW w:type="dxa" w:w="2340"/>
            <w:tcBorders>
              <w:top w:val="single" w:color="CCCCCC" w:sz="1"/>
              <w:left w:val="single" w:color="CCCCCC" w:sz="1"/>
              <w:bottom w:val="single" w:color="CCCCCC" w:sz="1"/>
              <w:right w:val="single" w:color="CCCCCC" w:sz="1"/>
            </w:tcBorders>
          </w:tcPr>
          <w:p>
            <w:r>
              <w:t xml:space="preserve">#1F7A8C</w:t>
            </w:r>
          </w:p>
        </w:tc>
        <w:tc>
          <w:tcPr>
            <w:tcW w:type="dxa" w:w="4680"/>
            <w:tcBorders>
              <w:top w:val="single" w:color="CCCCCC" w:sz="1"/>
              <w:left w:val="single" w:color="CCCCCC" w:sz="1"/>
              <w:bottom w:val="single" w:color="CCCCCC" w:sz="1"/>
              <w:right w:val="single" w:color="CCCCCC" w:sz="1"/>
            </w:tcBorders>
          </w:tcPr>
          <w:p>
            <w:r>
              <w:t xml:space="preserve">Headers, CTAs, primary elements</w:t>
            </w:r>
          </w:p>
        </w:tc>
      </w:tr>
      <w:tr>
        <w:tc>
          <w:tcPr>
            <w:tcW w:type="dxa" w:w="2340"/>
            <w:tcBorders>
              <w:top w:val="single" w:color="CCCCCC" w:sz="1"/>
              <w:left w:val="single" w:color="CCCCCC" w:sz="1"/>
              <w:bottom w:val="single" w:color="CCCCCC" w:sz="1"/>
              <w:right w:val="single" w:color="CCCCCC" w:sz="1"/>
            </w:tcBorders>
          </w:tcPr>
          <w:p>
            <w:r>
              <w:t xml:space="preserve">Deep Teal</w:t>
            </w:r>
          </w:p>
        </w:tc>
        <w:tc>
          <w:tcPr>
            <w:tcW w:type="dxa" w:w="2340"/>
            <w:tcBorders>
              <w:top w:val="single" w:color="CCCCCC" w:sz="1"/>
              <w:left w:val="single" w:color="CCCCCC" w:sz="1"/>
              <w:bottom w:val="single" w:color="CCCCCC" w:sz="1"/>
              <w:right w:val="single" w:color="CCCCCC" w:sz="1"/>
            </w:tcBorders>
          </w:tcPr>
          <w:p>
            <w:r>
              <w:t xml:space="preserve">#134B54</w:t>
            </w:r>
          </w:p>
        </w:tc>
        <w:tc>
          <w:tcPr>
            <w:tcW w:type="dxa" w:w="4680"/>
            <w:tcBorders>
              <w:top w:val="single" w:color="CCCCCC" w:sz="1"/>
              <w:left w:val="single" w:color="CCCCCC" w:sz="1"/>
              <w:bottom w:val="single" w:color="CCCCCC" w:sz="1"/>
              <w:right w:val="single" w:color="CCCCCC" w:sz="1"/>
            </w:tcBorders>
          </w:tcPr>
          <w:p>
            <w:r>
              <w:t xml:space="preserve">Footer, text, dark backgrounds</w:t>
            </w:r>
          </w:p>
        </w:tc>
      </w:tr>
      <w:tr>
        <w:tc>
          <w:tcPr>
            <w:tcW w:type="dxa" w:w="2340"/>
            <w:tcBorders>
              <w:top w:val="single" w:color="CCCCCC" w:sz="1"/>
              <w:left w:val="single" w:color="CCCCCC" w:sz="1"/>
              <w:bottom w:val="single" w:color="CCCCCC" w:sz="1"/>
              <w:right w:val="single" w:color="CCCCCC" w:sz="1"/>
            </w:tcBorders>
          </w:tcPr>
          <w:p>
            <w:r>
              <w:t xml:space="preserve">Accent Gold</w:t>
            </w:r>
          </w:p>
        </w:tc>
        <w:tc>
          <w:tcPr>
            <w:tcW w:type="dxa" w:w="2340"/>
            <w:tcBorders>
              <w:top w:val="single" w:color="CCCCCC" w:sz="1"/>
              <w:left w:val="single" w:color="CCCCCC" w:sz="1"/>
              <w:bottom w:val="single" w:color="CCCCCC" w:sz="1"/>
              <w:right w:val="single" w:color="CCCCCC" w:sz="1"/>
            </w:tcBorders>
          </w:tcPr>
          <w:p>
            <w:r>
              <w:t xml:space="preserve">#C9A227</w:t>
            </w:r>
          </w:p>
        </w:tc>
        <w:tc>
          <w:tcPr>
            <w:tcW w:type="dxa" w:w="4680"/>
            <w:tcBorders>
              <w:top w:val="single" w:color="CCCCCC" w:sz="1"/>
              <w:left w:val="single" w:color="CCCCCC" w:sz="1"/>
              <w:bottom w:val="single" w:color="CCCCCC" w:sz="1"/>
              <w:right w:val="single" w:color="CCCCCC" w:sz="1"/>
            </w:tcBorders>
          </w:tcPr>
          <w:p>
            <w:r>
              <w:t xml:space="preserve">Highlights, icons, accent CTAs</w:t>
            </w:r>
          </w:p>
        </w:tc>
      </w:tr>
      <w:tr>
        <w:tc>
          <w:tcPr>
            <w:tcW w:type="dxa" w:w="2340"/>
            <w:tcBorders>
              <w:top w:val="single" w:color="CCCCCC" w:sz="1"/>
              <w:left w:val="single" w:color="CCCCCC" w:sz="1"/>
              <w:bottom w:val="single" w:color="CCCCCC" w:sz="1"/>
              <w:right w:val="single" w:color="CCCCCC" w:sz="1"/>
            </w:tcBorders>
          </w:tcPr>
          <w:p>
            <w:r>
              <w:t xml:space="preserve">Light Gray</w:t>
            </w:r>
          </w:p>
        </w:tc>
        <w:tc>
          <w:tcPr>
            <w:tcW w:type="dxa" w:w="2340"/>
            <w:tcBorders>
              <w:top w:val="single" w:color="CCCCCC" w:sz="1"/>
              <w:left w:val="single" w:color="CCCCCC" w:sz="1"/>
              <w:bottom w:val="single" w:color="CCCCCC" w:sz="1"/>
              <w:right w:val="single" w:color="CCCCCC" w:sz="1"/>
            </w:tcBorders>
          </w:tcPr>
          <w:p>
            <w:r>
              <w:t xml:space="preserve">#F5F7F9</w:t>
            </w:r>
          </w:p>
        </w:tc>
        <w:tc>
          <w:tcPr>
            <w:tcW w:type="dxa" w:w="4680"/>
            <w:tcBorders>
              <w:top w:val="single" w:color="CCCCCC" w:sz="1"/>
              <w:left w:val="single" w:color="CCCCCC" w:sz="1"/>
              <w:bottom w:val="single" w:color="CCCCCC" w:sz="1"/>
              <w:right w:val="single" w:color="CCCCCC" w:sz="1"/>
            </w:tcBorders>
          </w:tcPr>
          <w:p>
            <w:r>
              <w:t xml:space="preserve">Section backgrounds</w:t>
            </w:r>
          </w:p>
        </w:tc>
      </w:tr>
    </w:tbl>
    <w:p>
      <w:pPr>
        <w:spacing w:before="200"/>
      </w:pPr>
    </w:p>
    <w:p>
      <w:pPr>
        <w:pStyle w:val="Heading2"/>
      </w:pPr>
      <w:r>
        <w:t xml:space="preserve">Typography</w:t>
      </w:r>
    </w:p>
    <w:p>
      <w:pPr>
        <w:pStyle w:val="ListParagraph"/>
        <w:numPr>
          <w:ilvl w:val="0"/>
          <w:numId w:val="2"/>
        </w:numPr>
      </w:pPr>
      <w:r>
        <w:rPr>
          <w:b/>
          <w:bCs/>
        </w:rPr>
        <w:t xml:space="preserve">Headings: </w:t>
      </w:r>
      <w:r>
        <w:t xml:space="preserve">Inter, Montserrat, or Poppins (600-700 weight)</w:t>
      </w:r>
    </w:p>
    <w:p>
      <w:pPr>
        <w:pStyle w:val="ListParagraph"/>
        <w:numPr>
          <w:ilvl w:val="0"/>
          <w:numId w:val="2"/>
        </w:numPr>
      </w:pPr>
      <w:r>
        <w:rPr>
          <w:b/>
          <w:bCs/>
        </w:rPr>
        <w:t xml:space="preserve">Body: </w:t>
      </w:r>
      <w:r>
        <w:t xml:space="preserve">Inter or Open Sans (400-500 weight)</w:t>
      </w:r>
    </w:p>
    <w:p>
      <w:pPr>
        <w:pStyle w:val="ListParagraph"/>
        <w:numPr>
          <w:ilvl w:val="0"/>
          <w:numId w:val="2"/>
        </w:numPr>
      </w:pPr>
      <w:r>
        <w:rPr>
          <w:b/>
          <w:bCs/>
        </w:rPr>
        <w:t xml:space="preserve">Accent/CTAs: </w:t>
      </w:r>
      <w:r>
        <w:t xml:space="preserve">Same as headings</w:t>
      </w:r>
    </w:p>
    <w:p>
      <w:pPr>
        <w:pStyle w:val="Heading2"/>
      </w:pPr>
      <w:r>
        <w:t xml:space="preserve">Visual Style Guidelines</w:t>
      </w:r>
    </w:p>
    <w:p>
      <w:pPr>
        <w:pStyle w:val="ListParagraph"/>
        <w:numPr>
          <w:ilvl w:val="0"/>
          <w:numId w:val="2"/>
        </w:numPr>
      </w:pPr>
      <w:r>
        <w:t xml:space="preserve">Clean, minimalist design with ample white space</w:t>
      </w:r>
    </w:p>
    <w:p>
      <w:pPr>
        <w:pStyle w:val="ListParagraph"/>
        <w:numPr>
          <w:ilvl w:val="0"/>
          <w:numId w:val="2"/>
        </w:numPr>
      </w:pPr>
      <w:r>
        <w:t xml:space="preserve">Subtle gradients (teal to deep teal)</w:t>
      </w:r>
    </w:p>
    <w:p>
      <w:pPr>
        <w:pStyle w:val="ListParagraph"/>
        <w:numPr>
          <w:ilvl w:val="0"/>
          <w:numId w:val="2"/>
        </w:numPr>
      </w:pPr>
      <w:r>
        <w:t xml:space="preserve">Abstract geometric patterns using node/connection motifs</w:t>
      </w:r>
    </w:p>
    <w:p>
      <w:pPr>
        <w:pStyle w:val="ListParagraph"/>
        <w:numPr>
          <w:ilvl w:val="0"/>
          <w:numId w:val="2"/>
        </w:numPr>
      </w:pPr>
      <w:r>
        <w:t xml:space="preserve">Professional medical imagery showing technology integration</w:t>
      </w:r>
    </w:p>
    <w:p>
      <w:pPr>
        <w:pStyle w:val="ListParagraph"/>
        <w:numPr>
          <w:ilvl w:val="0"/>
          <w:numId w:val="2"/>
        </w:numPr>
      </w:pPr>
      <w:r>
        <w:t xml:space="preserve">Rounded corners (8-12px) on cards and buttons</w:t>
      </w:r>
    </w:p>
    <w:p>
      <w:pPr>
        <w:pStyle w:val="ListParagraph"/>
        <w:numPr>
          <w:ilvl w:val="0"/>
          <w:numId w:val="2"/>
        </w:numPr>
      </w:pPr>
      <w:r>
        <w:t xml:space="preserve">Soft shadows for depth</w:t>
      </w:r>
    </w:p>
    <w:p>
      <w:pPr>
        <w:pStyle w:val="Heading1"/>
      </w:pPr>
      <w:r>
        <w:t xml:space="preserve">3. Page Structure</w:t>
      </w:r>
    </w:p>
    <w:p>
      <w:pPr>
        <w:pStyle w:val="Heading2"/>
      </w:pPr>
      <w:r>
        <w:t xml:space="preserve">Section 1: Hero</w:t>
      </w:r>
    </w:p>
    <w:p>
      <w:pPr>
        <w:spacing w:after="100"/>
      </w:pPr>
      <w:r>
        <w:rPr>
          <w:b/>
          <w:bCs/>
        </w:rPr>
        <w:t xml:space="preserve">Layout: </w:t>
      </w:r>
      <w:r>
        <w:t xml:space="preserve">Full-width, split design (60% content / 40% visual)</w:t>
      </w:r>
    </w:p>
    <w:p>
      <w:pPr>
        <w:pStyle w:val="Heading3"/>
      </w:pPr>
      <w:r>
        <w:t xml:space="preserve">Content</w:t>
      </w:r>
    </w:p>
    <w:p>
      <w:pPr>
        <w:pStyle w:val="ListParagraph"/>
        <w:numPr>
          <w:ilvl w:val="0"/>
          <w:numId w:val="2"/>
        </w:numPr>
      </w:pPr>
      <w:r>
        <w:rPr>
          <w:b/>
          <w:bCs/>
        </w:rPr>
        <w:t xml:space="preserve">Pre-headline: </w:t>
      </w:r>
      <w:r>
        <w:t xml:space="preserve">"For Specialty Practices Ready to Scale"</w:t>
      </w:r>
    </w:p>
    <w:p>
      <w:pPr>
        <w:pStyle w:val="ListParagraph"/>
        <w:numPr>
          <w:ilvl w:val="0"/>
          <w:numId w:val="2"/>
        </w:numPr>
      </w:pPr>
      <w:r>
        <w:rPr>
          <w:b/>
          <w:bCs/>
        </w:rPr>
        <w:t xml:space="preserve">Main Headline: </w:t>
      </w:r>
      <w:r>
        <w:t xml:space="preserve">"Focus on Patients. We Handle the Business."</w:t>
      </w:r>
    </w:p>
    <w:p>
      <w:pPr>
        <w:pStyle w:val="ListParagraph"/>
        <w:numPr>
          <w:ilvl w:val="0"/>
          <w:numId w:val="2"/>
        </w:numPr>
      </w:pPr>
      <w:r>
        <w:rPr>
          <w:b/>
          <w:bCs/>
        </w:rPr>
        <w:t xml:space="preserve">Subheadline: </w:t>
      </w:r>
      <w:r>
        <w:t xml:space="preserve">"NexWell Health Partners provides the operational backbone specialty practices need to thrive. From telehealth integration to hospital partnerships, we manage the complexity so you can practice medicine."</w:t>
      </w:r>
    </w:p>
    <w:p>
      <w:pPr>
        <w:pStyle w:val="ListParagraph"/>
        <w:numPr>
          <w:ilvl w:val="0"/>
          <w:numId w:val="2"/>
        </w:numPr>
      </w:pPr>
      <w:r>
        <w:rPr>
          <w:b/>
          <w:bCs/>
        </w:rPr>
        <w:t xml:space="preserve">Primary CTA: </w:t>
      </w:r>
      <w:r>
        <w:t xml:space="preserve">"Schedule a Consultation" (Gold button)</w:t>
      </w:r>
    </w:p>
    <w:p>
      <w:pPr>
        <w:pStyle w:val="ListParagraph"/>
        <w:numPr>
          <w:ilvl w:val="0"/>
          <w:numId w:val="2"/>
        </w:numPr>
      </w:pPr>
      <w:r>
        <w:rPr>
          <w:b/>
          <w:bCs/>
        </w:rPr>
        <w:t xml:space="preserve">Secondary CTA: </w:t>
      </w:r>
      <w:r>
        <w:t xml:space="preserve">"Learn How It Works" (Text link with arrow)</w:t>
      </w:r>
    </w:p>
    <w:p>
      <w:pPr>
        <w:pStyle w:val="ListParagraph"/>
        <w:numPr>
          <w:ilvl w:val="0"/>
          <w:numId w:val="2"/>
        </w:numPr>
      </w:pPr>
      <w:r>
        <w:rPr>
          <w:b/>
          <w:bCs/>
        </w:rPr>
        <w:t xml:space="preserve">Trust Indicators: </w:t>
      </w:r>
      <w:r>
        <w:t xml:space="preserve">"HIPAA Compliant" | "Value-Based Care Enabled" | "Telehealth Ready"</w:t>
      </w:r>
    </w:p>
    <w:p>
      <w:pPr>
        <w:pStyle w:val="Heading2"/>
      </w:pPr>
      <w:r>
        <w:t xml:space="preserve">Section 2: Problem Statement</w:t>
      </w:r>
    </w:p>
    <w:p>
      <w:pPr>
        <w:spacing w:after="100"/>
      </w:pPr>
      <w:r>
        <w:rPr>
          <w:b/>
          <w:bCs/>
        </w:rPr>
        <w:t xml:space="preserve">Layout: </w:t>
      </w:r>
      <w:r>
        <w:t xml:space="preserve">Full-width, centered text on light gray background</w:t>
      </w:r>
    </w:p>
    <w:p>
      <w:pPr>
        <w:spacing w:after="100"/>
      </w:pPr>
      <w:r>
        <w:rPr>
          <w:b/>
          <w:bCs/>
        </w:rPr>
        <w:t xml:space="preserve">Header: </w:t>
      </w:r>
      <w:r>
        <w:t xml:space="preserve">"Independent Practices Face Mounting Pressures"</w:t>
      </w:r>
    </w:p>
    <w:p>
      <w:pPr>
        <w:pStyle w:val="Heading3"/>
      </w:pPr>
      <w:r>
        <w:t xml:space="preserve">Stat Cards (3-column)</w:t>
      </w:r>
    </w:p>
    <w:p>
      <w:pPr>
        <w:pStyle w:val="ListParagraph"/>
        <w:numPr>
          <w:ilvl w:val="0"/>
          <w:numId w:val="2"/>
        </w:numPr>
      </w:pPr>
      <w:r>
        <w:rPr>
          <w:b/>
          <w:bCs/>
          <w:color w:val="1F7A8C"/>
        </w:rPr>
        <w:t xml:space="preserve">60-70% </w:t>
      </w:r>
      <w:r>
        <w:t xml:space="preserve">— Average practice overhead as percentage of revenue</w:t>
      </w:r>
    </w:p>
    <w:p>
      <w:pPr>
        <w:pStyle w:val="ListParagraph"/>
        <w:numPr>
          <w:ilvl w:val="0"/>
          <w:numId w:val="2"/>
        </w:numPr>
      </w:pPr>
      <w:r>
        <w:rPr>
          <w:b/>
          <w:bCs/>
          <w:color w:val="1F7A8C"/>
        </w:rPr>
        <w:t xml:space="preserve">40%+ </w:t>
      </w:r>
      <w:r>
        <w:t xml:space="preserve">— Primary care physicians reporting burnout</w:t>
      </w:r>
    </w:p>
    <w:p>
      <w:pPr>
        <w:pStyle w:val="ListParagraph"/>
        <w:numPr>
          <w:ilvl w:val="0"/>
          <w:numId w:val="2"/>
        </w:numPr>
      </w:pPr>
      <w:r>
        <w:rPr>
          <w:b/>
          <w:bCs/>
          <w:color w:val="1F7A8C"/>
        </w:rPr>
        <w:t xml:space="preserve">11%+ </w:t>
      </w:r>
      <w:r>
        <w:t xml:space="preserve">— Average claim denial rate crushing revenue cycles</w:t>
      </w:r>
    </w:p>
    <w:p>
      <w:pPr>
        <w:spacing w:after="200"/>
      </w:pPr>
      <w:r>
        <w:rPr>
          <w:b/>
          <w:bCs/>
        </w:rPr>
        <w:t xml:space="preserve">Closing Statement: </w:t>
      </w:r>
      <w:r>
        <w:t xml:space="preserve">"You didn't go to medical school to manage billing codes and negotiate payer contracts. There's a better way."</w:t>
      </w:r>
    </w:p>
    <w:p>
      <w:pPr>
        <w:pStyle w:val="Heading2"/>
      </w:pPr>
      <w:r>
        <w:t xml:space="preserve">Section 3: Services Overview</w:t>
      </w:r>
    </w:p>
    <w:p>
      <w:pPr>
        <w:spacing w:after="100"/>
      </w:pPr>
      <w:r>
        <w:rPr>
          <w:b/>
          <w:bCs/>
        </w:rPr>
        <w:t xml:space="preserve">Layout: </w:t>
      </w:r>
      <w:r>
        <w:t xml:space="preserve">Section header + 6-card grid (3x2 on desktop)</w:t>
      </w:r>
    </w:p>
    <w:p>
      <w:pPr>
        <w:spacing w:after="100"/>
      </w:pPr>
      <w:r>
        <w:rPr>
          <w:b/>
          <w:bCs/>
        </w:rPr>
        <w:t xml:space="preserve">Header: </w:t>
      </w:r>
      <w:r>
        <w:t xml:space="preserve">"Comprehensive Support for Modern Healthcare"</w:t>
      </w:r>
    </w:p>
    <w:p>
      <w:pPr>
        <w:spacing w:after="100"/>
      </w:pPr>
      <w:r>
        <w:rPr>
          <w:b/>
          <w:bCs/>
        </w:rPr>
        <w:t xml:space="preserve">Subheader: </w:t>
      </w:r>
      <w:r>
        <w:t xml:space="preserve">"We handle the operational complexity. You maintain full clinical autonomy."</w:t>
      </w:r>
    </w:p>
    <w:p>
      <w:pPr>
        <w:pStyle w:val="Heading3"/>
      </w:pPr>
      <w:r>
        <w:t xml:space="preserve">Service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34B54" w:val="clear"/>
          </w:tcPr>
          <w:p>
            <w:pPr>
              <w:jc w:val="center"/>
            </w:pPr>
            <w:r>
              <w:rPr>
                <w:b/>
                <w:bCs/>
                <w:color w:val="FFFFFF"/>
              </w:rPr>
              <w:t xml:space="preserve">Service</w:t>
            </w:r>
          </w:p>
        </w:tc>
        <w:tc>
          <w:tcPr>
            <w:tcW w:type="dxa" w:w="6560"/>
            <w:tcBorders>
              <w:top w:val="single" w:color="CCCCCC" w:sz="1"/>
              <w:left w:val="single" w:color="CCCCCC" w:sz="1"/>
              <w:bottom w:val="single" w:color="CCCCCC" w:sz="1"/>
              <w:right w:val="single" w:color="CCCCCC" w:sz="1"/>
            </w:tcBorders>
            <w:shd w:fill="134B54" w:val="clear"/>
          </w:tcPr>
          <w:p>
            <w:pPr>
              <w:jc w:val="center"/>
            </w:pPr>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Pr>
          <w:p>
            <w:r>
              <w:rPr>
                <w:b/>
                <w:bCs/>
              </w:rPr>
              <w:t xml:space="preserve">Revenue Cycle Management</w:t>
            </w:r>
          </w:p>
        </w:tc>
        <w:tc>
          <w:tcPr>
            <w:tcW w:type="dxa" w:w="6560"/>
            <w:tcBorders>
              <w:top w:val="single" w:color="CCCCCC" w:sz="1"/>
              <w:left w:val="single" w:color="CCCCCC" w:sz="1"/>
              <w:bottom w:val="single" w:color="CCCCCC" w:sz="1"/>
              <w:right w:val="single" w:color="CCCCCC" w:sz="1"/>
            </w:tcBorders>
          </w:tcPr>
          <w:p>
            <w:r>
              <w:t xml:space="preserve">End-to-end claims processing, denial management, and reimbursement optimization. Reduce days in A/R and improve collections.</w:t>
            </w:r>
          </w:p>
        </w:tc>
      </w:tr>
      <w:tr>
        <w:tc>
          <w:tcPr>
            <w:tcW w:type="dxa" w:w="2800"/>
            <w:tcBorders>
              <w:top w:val="single" w:color="CCCCCC" w:sz="1"/>
              <w:left w:val="single" w:color="CCCCCC" w:sz="1"/>
              <w:bottom w:val="single" w:color="CCCCCC" w:sz="1"/>
              <w:right w:val="single" w:color="CCCCCC" w:sz="1"/>
            </w:tcBorders>
          </w:tcPr>
          <w:p>
            <w:r>
              <w:rPr>
                <w:b/>
                <w:bCs/>
              </w:rPr>
              <w:t xml:space="preserve">Telehealth &amp; Technology</w:t>
            </w:r>
          </w:p>
        </w:tc>
        <w:tc>
          <w:tcPr>
            <w:tcW w:type="dxa" w:w="6560"/>
            <w:tcBorders>
              <w:top w:val="single" w:color="CCCCCC" w:sz="1"/>
              <w:left w:val="single" w:color="CCCCCC" w:sz="1"/>
              <w:bottom w:val="single" w:color="CCCCCC" w:sz="1"/>
              <w:right w:val="single" w:color="CCCCCC" w:sz="1"/>
            </w:tcBorders>
          </w:tcPr>
          <w:p>
            <w:r>
              <w:t xml:space="preserve">Unified EHR platforms, telemedicine infrastructure, and AI-powered documentation. Meet patients where they are.</w:t>
            </w:r>
          </w:p>
        </w:tc>
      </w:tr>
      <w:tr>
        <w:tc>
          <w:tcPr>
            <w:tcW w:type="dxa" w:w="2800"/>
            <w:tcBorders>
              <w:top w:val="single" w:color="CCCCCC" w:sz="1"/>
              <w:left w:val="single" w:color="CCCCCC" w:sz="1"/>
              <w:bottom w:val="single" w:color="CCCCCC" w:sz="1"/>
              <w:right w:val="single" w:color="CCCCCC" w:sz="1"/>
            </w:tcBorders>
          </w:tcPr>
          <w:p>
            <w:r>
              <w:rPr>
                <w:b/>
                <w:bCs/>
              </w:rPr>
              <w:t xml:space="preserve">Regulatory Compliance</w:t>
            </w:r>
          </w:p>
        </w:tc>
        <w:tc>
          <w:tcPr>
            <w:tcW w:type="dxa" w:w="6560"/>
            <w:tcBorders>
              <w:top w:val="single" w:color="CCCCCC" w:sz="1"/>
              <w:left w:val="single" w:color="CCCCCC" w:sz="1"/>
              <w:bottom w:val="single" w:color="CCCCCC" w:sz="1"/>
              <w:right w:val="single" w:color="CCCCCC" w:sz="1"/>
            </w:tcBorders>
          </w:tcPr>
          <w:p>
            <w:r>
              <w:t xml:space="preserve">Navigate HIPAA, ACA, and state-specific regulations with confidence. We keep you compliant so you stay focused on care.</w:t>
            </w:r>
          </w:p>
        </w:tc>
      </w:tr>
      <w:tr>
        <w:tc>
          <w:tcPr>
            <w:tcW w:type="dxa" w:w="2800"/>
            <w:tcBorders>
              <w:top w:val="single" w:color="CCCCCC" w:sz="1"/>
              <w:left w:val="single" w:color="CCCCCC" w:sz="1"/>
              <w:bottom w:val="single" w:color="CCCCCC" w:sz="1"/>
              <w:right w:val="single" w:color="CCCCCC" w:sz="1"/>
            </w:tcBorders>
          </w:tcPr>
          <w:p>
            <w:r>
              <w:rPr>
                <w:b/>
                <w:bCs/>
              </w:rPr>
              <w:t xml:space="preserve">Hospital &amp; FQHC Access</w:t>
            </w:r>
          </w:p>
        </w:tc>
        <w:tc>
          <w:tcPr>
            <w:tcW w:type="dxa" w:w="6560"/>
            <w:tcBorders>
              <w:top w:val="single" w:color="CCCCCC" w:sz="1"/>
              <w:left w:val="single" w:color="CCCCCC" w:sz="1"/>
              <w:bottom w:val="single" w:color="CCCCCC" w:sz="1"/>
              <w:right w:val="single" w:color="CCCCCC" w:sz="1"/>
            </w:tcBorders>
          </w:tcPr>
          <w:p>
            <w:r>
              <w:t xml:space="preserve">Strategic partnerships with hospitals and Federally Qualified Health Centers. Expand your referral network and care continuum.</w:t>
            </w:r>
          </w:p>
        </w:tc>
      </w:tr>
      <w:tr>
        <w:tc>
          <w:tcPr>
            <w:tcW w:type="dxa" w:w="2800"/>
            <w:tcBorders>
              <w:top w:val="single" w:color="CCCCCC" w:sz="1"/>
              <w:left w:val="single" w:color="CCCCCC" w:sz="1"/>
              <w:bottom w:val="single" w:color="CCCCCC" w:sz="1"/>
              <w:right w:val="single" w:color="CCCCCC" w:sz="1"/>
            </w:tcBorders>
          </w:tcPr>
          <w:p>
            <w:r>
              <w:rPr>
                <w:b/>
                <w:bCs/>
              </w:rPr>
              <w:t xml:space="preserve">Value-Based Care</w:t>
            </w:r>
          </w:p>
        </w:tc>
        <w:tc>
          <w:tcPr>
            <w:tcW w:type="dxa" w:w="6560"/>
            <w:tcBorders>
              <w:top w:val="single" w:color="CCCCCC" w:sz="1"/>
              <w:left w:val="single" w:color="CCCCCC" w:sz="1"/>
              <w:bottom w:val="single" w:color="CCCCCC" w:sz="1"/>
              <w:right w:val="single" w:color="CCCCCC" w:sz="1"/>
            </w:tcBorders>
          </w:tcPr>
          <w:p>
            <w:r>
              <w:t xml:space="preserve">Population health analytics, risk stratification, and quality metrics tracking. Transition from volume to value at your pace.</w:t>
            </w:r>
          </w:p>
        </w:tc>
      </w:tr>
      <w:tr>
        <w:tc>
          <w:tcPr>
            <w:tcW w:type="dxa" w:w="2800"/>
            <w:tcBorders>
              <w:top w:val="single" w:color="CCCCCC" w:sz="1"/>
              <w:left w:val="single" w:color="CCCCCC" w:sz="1"/>
              <w:bottom w:val="single" w:color="CCCCCC" w:sz="1"/>
              <w:right w:val="single" w:color="CCCCCC" w:sz="1"/>
            </w:tcBorders>
          </w:tcPr>
          <w:p>
            <w:r>
              <w:rPr>
                <w:b/>
                <w:bCs/>
              </w:rPr>
              <w:t xml:space="preserve">HR &amp; Workforce</w:t>
            </w:r>
          </w:p>
        </w:tc>
        <w:tc>
          <w:tcPr>
            <w:tcW w:type="dxa" w:w="6560"/>
            <w:tcBorders>
              <w:top w:val="single" w:color="CCCCCC" w:sz="1"/>
              <w:left w:val="single" w:color="CCCCCC" w:sz="1"/>
              <w:bottom w:val="single" w:color="CCCCCC" w:sz="1"/>
              <w:right w:val="single" w:color="CCCCCC" w:sz="1"/>
            </w:tcBorders>
          </w:tcPr>
          <w:p>
            <w:r>
              <w:t xml:space="preserve">Recruiting, credentialing, payroll, and benefits administration. Build and retain the team your practice needs.</w:t>
            </w:r>
          </w:p>
        </w:tc>
      </w:tr>
    </w:tbl>
    <w:p>
      <w:pPr>
        <w:spacing w:before="200"/>
      </w:pPr>
    </w:p>
    <w:p>
      <w:pPr>
        <w:pStyle w:val="Heading2"/>
      </w:pPr>
      <w:r>
        <w:t xml:space="preserve">Section 4: Value Proposition</w:t>
      </w:r>
    </w:p>
    <w:p>
      <w:pPr>
        <w:spacing w:after="100"/>
      </w:pPr>
      <w:r>
        <w:rPr>
          <w:b/>
          <w:bCs/>
        </w:rPr>
        <w:t xml:space="preserve">Layout: </w:t>
      </w:r>
      <w:r>
        <w:t xml:space="preserve">Split section (image left, content right)</w:t>
      </w:r>
    </w:p>
    <w:p>
      <w:pPr>
        <w:spacing w:after="100"/>
      </w:pPr>
      <w:r>
        <w:rPr>
          <w:b/>
          <w:bCs/>
        </w:rPr>
        <w:t xml:space="preserve">Header: </w:t>
      </w:r>
      <w:r>
        <w:t xml:space="preserve">"Partnership, Not Ownership"</w:t>
      </w:r>
    </w:p>
    <w:p>
      <w:pPr>
        <w:pStyle w:val="Heading3"/>
      </w:pPr>
      <w:r>
        <w:t xml:space="preserve">Key Differentiators</w:t>
      </w:r>
    </w:p>
    <w:p>
      <w:pPr>
        <w:pStyle w:val="ListParagraph"/>
        <w:numPr>
          <w:ilvl w:val="0"/>
          <w:numId w:val="2"/>
        </w:numPr>
      </w:pPr>
      <w:r>
        <w:rPr>
          <w:b/>
          <w:bCs/>
        </w:rPr>
        <w:t xml:space="preserve">Clinical Autonomy Protected: </w:t>
      </w:r>
      <w:r>
        <w:t xml:space="preserve">Your medical judgment remains yours. Our MSO agreements explicitly preserve your decision-making authority.</w:t>
      </w:r>
    </w:p>
    <w:p>
      <w:pPr>
        <w:pStyle w:val="ListParagraph"/>
        <w:numPr>
          <w:ilvl w:val="0"/>
          <w:numId w:val="2"/>
        </w:numPr>
      </w:pPr>
      <w:r>
        <w:rPr>
          <w:b/>
          <w:bCs/>
        </w:rPr>
        <w:t xml:space="preserve">Technology Without Overhead: </w:t>
      </w:r>
      <w:r>
        <w:t xml:space="preserve">Access enterprise-grade infrastructure without the capital investment or IT headaches.</w:t>
      </w:r>
    </w:p>
    <w:p>
      <w:pPr>
        <w:pStyle w:val="ListParagraph"/>
        <w:numPr>
          <w:ilvl w:val="0"/>
          <w:numId w:val="2"/>
        </w:numPr>
      </w:pPr>
      <w:r>
        <w:rPr>
          <w:b/>
          <w:bCs/>
        </w:rPr>
        <w:t xml:space="preserve">Aligned Incentives: </w:t>
      </w:r>
      <w:r>
        <w:t xml:space="preserve">We succeed when you succeed. Our fee structures are transparent and designed for long-term partnership.</w:t>
      </w:r>
    </w:p>
    <w:p>
      <w:pPr>
        <w:pStyle w:val="Heading2"/>
      </w:pPr>
      <w:r>
        <w:t xml:space="preserve">Section 5: How It Works</w:t>
      </w:r>
    </w:p>
    <w:p>
      <w:pPr>
        <w:spacing w:after="100"/>
      </w:pPr>
      <w:r>
        <w:rPr>
          <w:b/>
          <w:bCs/>
        </w:rPr>
        <w:t xml:space="preserve">Layout: </w:t>
      </w:r>
      <w:r>
        <w:t xml:space="preserve">Horizontal timeline/process flow</w:t>
      </w:r>
    </w:p>
    <w:p>
      <w:pPr>
        <w:spacing w:after="100"/>
      </w:pPr>
      <w:r>
        <w:rPr>
          <w:b/>
          <w:bCs/>
        </w:rPr>
        <w:t xml:space="preserve">Header: </w:t>
      </w:r>
      <w:r>
        <w:t xml:space="preserve">"From Introduction to Integration in 90 Days"</w:t>
      </w:r>
    </w:p>
    <w:p>
      <w:pPr>
        <w:pStyle w:val="Heading3"/>
      </w:pPr>
      <w:r>
        <w:t xml:space="preserve">Process Steps</w:t>
      </w:r>
    </w:p>
    <w:p>
      <w:pPr>
        <w:pStyle w:val="ListParagraph"/>
        <w:numPr>
          <w:ilvl w:val="0"/>
          <w:numId w:val="2"/>
        </w:numPr>
      </w:pPr>
      <w:r>
        <w:rPr>
          <w:b/>
          <w:bCs/>
        </w:rPr>
        <w:t xml:space="preserve">Step 1 - Discovery Call: </w:t>
      </w:r>
      <w:r>
        <w:t xml:space="preserve">We learn about your practice, pain points, and goals.</w:t>
      </w:r>
    </w:p>
    <w:p>
      <w:pPr>
        <w:pStyle w:val="ListParagraph"/>
        <w:numPr>
          <w:ilvl w:val="0"/>
          <w:numId w:val="2"/>
        </w:numPr>
      </w:pPr>
      <w:r>
        <w:rPr>
          <w:b/>
          <w:bCs/>
        </w:rPr>
        <w:t xml:space="preserve">Step 2 - Needs Assessment: </w:t>
      </w:r>
      <w:r>
        <w:t xml:space="preserve">Our team audits your operations and develops a customized service plan.</w:t>
      </w:r>
    </w:p>
    <w:p>
      <w:pPr>
        <w:pStyle w:val="ListParagraph"/>
        <w:numPr>
          <w:ilvl w:val="0"/>
          <w:numId w:val="2"/>
        </w:numPr>
      </w:pPr>
      <w:r>
        <w:rPr>
          <w:b/>
          <w:bCs/>
        </w:rPr>
        <w:t xml:space="preserve">Step 3 - Agreement &amp; Onboarding: </w:t>
      </w:r>
      <w:r>
        <w:t xml:space="preserve">Transparent MSA structured with legal counsel. Clear scope. Protected autonomy.</w:t>
      </w:r>
    </w:p>
    <w:p>
      <w:pPr>
        <w:pStyle w:val="ListParagraph"/>
        <w:numPr>
          <w:ilvl w:val="0"/>
          <w:numId w:val="2"/>
        </w:numPr>
      </w:pPr>
      <w:r>
        <w:rPr>
          <w:b/>
          <w:bCs/>
        </w:rPr>
        <w:t xml:space="preserve">Step 4 - Integration &amp; Support: </w:t>
      </w:r>
      <w:r>
        <w:t xml:space="preserve">Hands-on training, technology deployment, and dedicated account management.</w:t>
      </w:r>
    </w:p>
    <w:p>
      <w:pPr>
        <w:pStyle w:val="Heading2"/>
      </w:pPr>
      <w:r>
        <w:t xml:space="preserve">Section 6: Specialty Focus</w:t>
      </w:r>
    </w:p>
    <w:p>
      <w:pPr>
        <w:spacing w:after="100"/>
      </w:pPr>
      <w:r>
        <w:rPr>
          <w:b/>
          <w:bCs/>
        </w:rPr>
        <w:t xml:space="preserve">Layout: </w:t>
      </w:r>
      <w:r>
        <w:t xml:space="preserve">Icon grid with hover states</w:t>
      </w:r>
    </w:p>
    <w:p>
      <w:pPr>
        <w:spacing w:after="100"/>
      </w:pPr>
      <w:r>
        <w:rPr>
          <w:b/>
          <w:bCs/>
        </w:rPr>
        <w:t xml:space="preserve">Header: </w:t>
      </w:r>
      <w:r>
        <w:t xml:space="preserve">"Serving Specialty Practices Across the Care Continuum"</w:t>
      </w:r>
    </w:p>
    <w:p>
      <w:pPr>
        <w:spacing w:after="100"/>
      </w:pPr>
      <w:r>
        <w:rPr>
          <w:b/>
          <w:bCs/>
        </w:rPr>
        <w:t xml:space="preserve">Specialties: </w:t>
      </w:r>
      <w:r>
        <w:t xml:space="preserve">Orthopedics, Cardiology, Behavioral Health, Gastroenterology, OB/GYN, Primary Care, Urology, Dermatology</w:t>
      </w:r>
    </w:p>
    <w:p>
      <w:pPr>
        <w:pStyle w:val="Heading2"/>
      </w:pPr>
      <w:r>
        <w:t xml:space="preserve">Section 7: Results / Social Proof</w:t>
      </w:r>
    </w:p>
    <w:p>
      <w:pPr>
        <w:spacing w:after="100"/>
      </w:pPr>
      <w:r>
        <w:rPr>
          <w:b/>
          <w:bCs/>
        </w:rPr>
        <w:t xml:space="preserve">Layout: </w:t>
      </w:r>
      <w:r>
        <w:t xml:space="preserve">Stats bar + testimonial carousel</w:t>
      </w:r>
    </w:p>
    <w:p>
      <w:pPr>
        <w:pStyle w:val="Heading3"/>
      </w:pPr>
      <w:r>
        <w:t xml:space="preserve">Key Metrics</w:t>
      </w:r>
    </w:p>
    <w:p>
      <w:pPr>
        <w:pStyle w:val="ListParagraph"/>
        <w:numPr>
          <w:ilvl w:val="0"/>
          <w:numId w:val="2"/>
        </w:numPr>
      </w:pPr>
      <w:r>
        <w:rPr>
          <w:b/>
          <w:bCs/>
          <w:color w:val="C9A227"/>
        </w:rPr>
        <w:t xml:space="preserve">10-30% </w:t>
      </w:r>
      <w:r>
        <w:t xml:space="preserve">Administrative Cost Reduction</w:t>
      </w:r>
    </w:p>
    <w:p>
      <w:pPr>
        <w:pStyle w:val="ListParagraph"/>
        <w:numPr>
          <w:ilvl w:val="0"/>
          <w:numId w:val="2"/>
        </w:numPr>
      </w:pPr>
      <w:r>
        <w:rPr>
          <w:b/>
          <w:bCs/>
          <w:color w:val="C9A227"/>
        </w:rPr>
        <w:t xml:space="preserve">25%+ </w:t>
      </w:r>
      <w:r>
        <w:t xml:space="preserve">Revenue Cycle Improvement</w:t>
      </w:r>
    </w:p>
    <w:p>
      <w:pPr>
        <w:pStyle w:val="ListParagraph"/>
        <w:numPr>
          <w:ilvl w:val="0"/>
          <w:numId w:val="2"/>
        </w:numPr>
      </w:pPr>
      <w:r>
        <w:rPr>
          <w:b/>
          <w:bCs/>
          <w:color w:val="C9A227"/>
        </w:rPr>
        <w:t xml:space="preserve">&lt;35 Days </w:t>
      </w:r>
      <w:r>
        <w:t xml:space="preserve">Target Days in A/R</w:t>
      </w:r>
    </w:p>
    <w:p>
      <w:pPr>
        <w:pStyle w:val="ListParagraph"/>
        <w:numPr>
          <w:ilvl w:val="0"/>
          <w:numId w:val="2"/>
        </w:numPr>
      </w:pPr>
      <w:r>
        <w:rPr>
          <w:b/>
          <w:bCs/>
          <w:color w:val="C9A227"/>
        </w:rPr>
        <w:t xml:space="preserve">98% </w:t>
      </w:r>
      <w:r>
        <w:t xml:space="preserve">Claims Eligibility Accuracy</w:t>
      </w:r>
    </w:p>
    <w:p>
      <w:pPr>
        <w:pStyle w:val="Heading2"/>
      </w:pPr>
      <w:r>
        <w:t xml:space="preserve">Section 8: FAQ Accordion</w:t>
      </w:r>
    </w:p>
    <w:p>
      <w:pPr>
        <w:spacing w:after="200"/>
      </w:pPr>
      <w:r>
        <w:t xml:space="preserve">Include expandable questions covering clinical autonomy, fee structures, integration timeline, technology requirements, regulatory changes, and value-based care transition.</w:t>
      </w:r>
    </w:p>
    <w:p>
      <w:pPr>
        <w:pStyle w:val="Heading2"/>
      </w:pPr>
      <w:r>
        <w:t xml:space="preserve">Section 9: Final CTA</w:t>
      </w:r>
    </w:p>
    <w:p>
      <w:pPr>
        <w:spacing w:after="100"/>
      </w:pPr>
      <w:r>
        <w:rPr>
          <w:b/>
          <w:bCs/>
        </w:rPr>
        <w:t xml:space="preserve">Layout: </w:t>
      </w:r>
      <w:r>
        <w:t xml:space="preserve">Full-width, teal gradient background</w:t>
      </w:r>
    </w:p>
    <w:p>
      <w:pPr>
        <w:spacing w:after="100"/>
      </w:pPr>
      <w:r>
        <w:rPr>
          <w:b/>
          <w:bCs/>
        </w:rPr>
        <w:t xml:space="preserve">Header: </w:t>
      </w:r>
      <w:r>
        <w:t xml:space="preserve">"Ready to Focus on What Matters Most?"</w:t>
      </w:r>
    </w:p>
    <w:p>
      <w:pPr>
        <w:spacing w:after="200"/>
      </w:pPr>
      <w:r>
        <w:rPr>
          <w:b/>
          <w:bCs/>
        </w:rPr>
        <w:t xml:space="preserve">Form Fields: </w:t>
      </w:r>
      <w:r>
        <w:t xml:space="preserve">Practice Name, Contact Name, Email, Phone, Specialty (dropdown), Current Challenge (dropdown)</w:t>
      </w:r>
    </w:p>
    <w:p>
      <w:pPr>
        <w:pStyle w:val="Heading2"/>
      </w:pPr>
      <w:r>
        <w:t xml:space="preserve">Section 10: Footer</w:t>
      </w:r>
    </w:p>
    <w:p>
      <w:pPr>
        <w:spacing w:after="200"/>
      </w:pPr>
      <w:r>
        <w:t xml:space="preserve">4-column grid with logo, services links, resources, and contact information. Include privacy policy, terms of service, and HIPAA notice links.</w:t>
      </w:r>
    </w:p>
    <w:p>
      <w:pPr>
        <w:pStyle w:val="Heading1"/>
      </w:pPr>
      <w:r>
        <w:t xml:space="preserve">4. Technical Requirements</w:t>
      </w:r>
    </w:p>
    <w:p>
      <w:pPr>
        <w:pStyle w:val="Heading2"/>
      </w:pPr>
      <w:r>
        <w:t xml:space="preserve">Framework Recommendations</w:t>
      </w:r>
    </w:p>
    <w:p>
      <w:pPr>
        <w:pStyle w:val="ListParagraph"/>
        <w:numPr>
          <w:ilvl w:val="0"/>
          <w:numId w:val="2"/>
        </w:numPr>
      </w:pPr>
      <w:r>
        <w:t xml:space="preserve">React/Next.js for dynamic components</w:t>
      </w:r>
    </w:p>
    <w:p>
      <w:pPr>
        <w:pStyle w:val="ListParagraph"/>
        <w:numPr>
          <w:ilvl w:val="0"/>
          <w:numId w:val="2"/>
        </w:numPr>
      </w:pPr>
      <w:r>
        <w:t xml:space="preserve">Tailwind CSS for styling</w:t>
      </w:r>
    </w:p>
    <w:p>
      <w:pPr>
        <w:pStyle w:val="ListParagraph"/>
        <w:numPr>
          <w:ilvl w:val="0"/>
          <w:numId w:val="2"/>
        </w:numPr>
      </w:pPr>
      <w:r>
        <w:t xml:space="preserve">Framer Motion for subtle animations</w:t>
      </w:r>
    </w:p>
    <w:p>
      <w:pPr>
        <w:pStyle w:val="Heading2"/>
      </w:pPr>
      <w:r>
        <w:t xml:space="preserve">Responsive Breakpoints</w:t>
      </w:r>
    </w:p>
    <w:p>
      <w:pPr>
        <w:pStyle w:val="ListParagraph"/>
        <w:numPr>
          <w:ilvl w:val="0"/>
          <w:numId w:val="2"/>
        </w:numPr>
      </w:pPr>
      <w:r>
        <w:t xml:space="preserve">Mobile: &lt; 768px</w:t>
      </w:r>
    </w:p>
    <w:p>
      <w:pPr>
        <w:pStyle w:val="ListParagraph"/>
        <w:numPr>
          <w:ilvl w:val="0"/>
          <w:numId w:val="2"/>
        </w:numPr>
      </w:pPr>
      <w:r>
        <w:t xml:space="preserve">Tablet: 768px - 1024px</w:t>
      </w:r>
    </w:p>
    <w:p>
      <w:pPr>
        <w:pStyle w:val="ListParagraph"/>
        <w:numPr>
          <w:ilvl w:val="0"/>
          <w:numId w:val="2"/>
        </w:numPr>
      </w:pPr>
      <w:r>
        <w:t xml:space="preserve">Desktop: &gt; 1024px</w:t>
      </w:r>
    </w:p>
    <w:p>
      <w:pPr>
        <w:pStyle w:val="Heading2"/>
      </w:pPr>
      <w:r>
        <w:t xml:space="preserve">Performance &amp; Accessibility</w:t>
      </w:r>
    </w:p>
    <w:p>
      <w:pPr>
        <w:pStyle w:val="ListParagraph"/>
        <w:numPr>
          <w:ilvl w:val="0"/>
          <w:numId w:val="2"/>
        </w:numPr>
      </w:pPr>
      <w:r>
        <w:t xml:space="preserve">Target &lt; 3s load time</w:t>
      </w:r>
    </w:p>
    <w:p>
      <w:pPr>
        <w:pStyle w:val="ListParagraph"/>
        <w:numPr>
          <w:ilvl w:val="0"/>
          <w:numId w:val="2"/>
        </w:numPr>
      </w:pPr>
      <w:r>
        <w:t xml:space="preserve">Core Web Vitals optimized</w:t>
      </w:r>
    </w:p>
    <w:p>
      <w:pPr>
        <w:pStyle w:val="ListParagraph"/>
        <w:numPr>
          <w:ilvl w:val="0"/>
          <w:numId w:val="2"/>
        </w:numPr>
      </w:pPr>
      <w:r>
        <w:t xml:space="preserve">WCAG 2.1 AA compliant</w:t>
      </w:r>
    </w:p>
    <w:p>
      <w:pPr>
        <w:pStyle w:val="ListParagraph"/>
        <w:numPr>
          <w:ilvl w:val="0"/>
          <w:numId w:val="2"/>
        </w:numPr>
      </w:pPr>
      <w:r>
        <w:t xml:space="preserve">Semantic HTML with proper contrast ratios</w:t>
      </w:r>
    </w:p>
    <w:p>
      <w:pPr>
        <w:pStyle w:val="Heading2"/>
      </w:pPr>
      <w:r>
        <w:t xml:space="preserve">SEO Requirements</w:t>
      </w:r>
    </w:p>
    <w:p>
      <w:pPr>
        <w:pStyle w:val="ListParagraph"/>
        <w:numPr>
          <w:ilvl w:val="0"/>
          <w:numId w:val="2"/>
        </w:numPr>
      </w:pPr>
      <w:r>
        <w:rPr>
          <w:b/>
          <w:bCs/>
        </w:rPr>
        <w:t xml:space="preserve">Meta Title: </w:t>
      </w:r>
      <w:r>
        <w:t xml:space="preserve">"NexWell Health Partners | MSO Services for Specialty Practices"</w:t>
      </w:r>
    </w:p>
    <w:p>
      <w:pPr>
        <w:pStyle w:val="ListParagraph"/>
        <w:numPr>
          <w:ilvl w:val="0"/>
          <w:numId w:val="2"/>
        </w:numPr>
      </w:pPr>
      <w:r>
        <w:rPr>
          <w:b/>
          <w:bCs/>
        </w:rPr>
        <w:t xml:space="preserve">Meta Description: </w:t>
      </w:r>
      <w:r>
        <w:t xml:space="preserve">"NexWell Health Partners provides management services, telehealth integration, and hospital partnerships for specialty medical practices."</w:t>
      </w:r>
    </w:p>
    <w:p>
      <w:pPr>
        <w:pStyle w:val="ListParagraph"/>
        <w:numPr>
          <w:ilvl w:val="0"/>
          <w:numId w:val="2"/>
        </w:numPr>
      </w:pPr>
      <w:r>
        <w:t xml:space="preserve">Structured data for LocalBusiness</w:t>
      </w:r>
    </w:p>
    <w:p>
      <w:pPr>
        <w:pStyle w:val="ListParagraph"/>
        <w:numPr>
          <w:ilvl w:val="0"/>
          <w:numId w:val="2"/>
        </w:numPr>
      </w:pPr>
      <w:r>
        <w:t xml:space="preserve">Open Graph tags for social sharing</w:t>
      </w:r>
    </w:p>
    <w:p>
      <w:pPr>
        <w:pStyle w:val="Heading1"/>
      </w:pPr>
      <w:r>
        <w:t xml:space="preserve">5. Animation Guidelines</w:t>
      </w:r>
    </w:p>
    <w:p>
      <w:pPr>
        <w:pStyle w:val="ListParagraph"/>
        <w:numPr>
          <w:ilvl w:val="0"/>
          <w:numId w:val="2"/>
        </w:numPr>
      </w:pPr>
      <w:r>
        <w:t xml:space="preserve">Hero section: Subtle fade-in on load (0.5s)</w:t>
      </w:r>
    </w:p>
    <w:p>
      <w:pPr>
        <w:pStyle w:val="ListParagraph"/>
        <w:numPr>
          <w:ilvl w:val="0"/>
          <w:numId w:val="2"/>
        </w:numPr>
      </w:pPr>
      <w:r>
        <w:t xml:space="preserve">Stats counters: Animate numbers on scroll into view</w:t>
      </w:r>
    </w:p>
    <w:p>
      <w:pPr>
        <w:pStyle w:val="ListParagraph"/>
        <w:numPr>
          <w:ilvl w:val="0"/>
          <w:numId w:val="2"/>
        </w:numPr>
      </w:pPr>
      <w:r>
        <w:t xml:space="preserve">Service cards: Gentle hover lift (transform: translateY(-4px))</w:t>
      </w:r>
    </w:p>
    <w:p>
      <w:pPr>
        <w:pStyle w:val="ListParagraph"/>
        <w:numPr>
          <w:ilvl w:val="0"/>
          <w:numId w:val="2"/>
        </w:numPr>
      </w:pPr>
      <w:r>
        <w:t xml:space="preserve">Process timeline: Sequential reveal on scroll</w:t>
      </w:r>
    </w:p>
    <w:p>
      <w:pPr>
        <w:pStyle w:val="ListParagraph"/>
        <w:numPr>
          <w:ilvl w:val="0"/>
          <w:numId w:val="2"/>
        </w:numPr>
      </w:pPr>
      <w:r>
        <w:t xml:space="preserve">CTA buttons: Subtle color shift on hover</w:t>
      </w:r>
    </w:p>
    <w:p>
      <w:pPr>
        <w:pStyle w:val="Heading1"/>
      </w:pPr>
      <w:r>
        <w:t xml:space="preserve">6. Copy Tone Guidelines</w:t>
      </w:r>
    </w:p>
    <w:p>
      <w:pPr>
        <w:pStyle w:val="ListParagraph"/>
        <w:numPr>
          <w:ilvl w:val="0"/>
          <w:numId w:val="2"/>
        </w:numPr>
      </w:pPr>
      <w:r>
        <w:t xml:space="preserve">Professional but approachable</w:t>
      </w:r>
    </w:p>
    <w:p>
      <w:pPr>
        <w:pStyle w:val="ListParagraph"/>
        <w:numPr>
          <w:ilvl w:val="0"/>
          <w:numId w:val="2"/>
        </w:numPr>
      </w:pPr>
      <w:r>
        <w:t xml:space="preserve">Direct and clear, avoid jargon</w:t>
      </w:r>
    </w:p>
    <w:p>
      <w:pPr>
        <w:pStyle w:val="ListParagraph"/>
        <w:numPr>
          <w:ilvl w:val="0"/>
          <w:numId w:val="2"/>
        </w:numPr>
      </w:pPr>
      <w:r>
        <w:t xml:space="preserve">Benefits-focused, not feature-dumping</w:t>
      </w:r>
    </w:p>
    <w:p>
      <w:pPr>
        <w:pStyle w:val="ListParagraph"/>
        <w:numPr>
          <w:ilvl w:val="0"/>
          <w:numId w:val="2"/>
        </w:numPr>
      </w:pPr>
      <w:r>
        <w:t xml:space="preserve">Empathetic to physician pain points</w:t>
      </w:r>
    </w:p>
    <w:p>
      <w:pPr>
        <w:pStyle w:val="ListParagraph"/>
        <w:numPr>
          <w:ilvl w:val="0"/>
          <w:numId w:val="2"/>
        </w:numPr>
      </w:pPr>
      <w:r>
        <w:t xml:space="preserve">Confident without being aggressive</w:t>
      </w:r>
    </w:p>
    <w:p>
      <w:pPr>
        <w:pStyle w:val="ListParagraph"/>
        <w:numPr>
          <w:ilvl w:val="0"/>
          <w:numId w:val="2"/>
        </w:numPr>
      </w:pPr>
      <w:r>
        <w:t xml:space="preserve">Use "we" and "you" to create partnership feel</w:t>
      </w:r>
    </w:p>
    <w:p>
      <w:pPr>
        <w:pStyle w:val="Heading1"/>
      </w:pPr>
      <w:r>
        <w:t xml:space="preserve">7. Conversion Goals</w:t>
      </w:r>
    </w:p>
    <w:p>
      <w:pPr>
        <w:pStyle w:val="ListParagraph"/>
        <w:numPr>
          <w:ilvl w:val="0"/>
          <w:numId w:val="2"/>
        </w:numPr>
      </w:pPr>
      <w:r>
        <w:rPr>
          <w:b/>
          <w:bCs/>
        </w:rPr>
        <w:t xml:space="preserve">Primary: </w:t>
      </w:r>
      <w:r>
        <w:t xml:space="preserve">Form submission for consultation</w:t>
      </w:r>
    </w:p>
    <w:p>
      <w:pPr>
        <w:pStyle w:val="ListParagraph"/>
        <w:numPr>
          <w:ilvl w:val="0"/>
          <w:numId w:val="2"/>
        </w:numPr>
      </w:pPr>
      <w:r>
        <w:rPr>
          <w:b/>
          <w:bCs/>
        </w:rPr>
        <w:t xml:space="preserve">Secondary: </w:t>
      </w:r>
      <w:r>
        <w:t xml:space="preserve">Phone call</w:t>
      </w:r>
    </w:p>
    <w:p>
      <w:pPr>
        <w:pStyle w:val="ListParagraph"/>
        <w:numPr>
          <w:ilvl w:val="0"/>
          <w:numId w:val="2"/>
        </w:numPr>
      </w:pPr>
      <w:r>
        <w:rPr>
          <w:b/>
          <w:bCs/>
        </w:rPr>
        <w:t xml:space="preserve">Tertiary: </w:t>
      </w:r>
      <w:r>
        <w:t xml:space="preserve">Resource download (future gated content)</w:t>
      </w:r>
    </w:p>
    <w:p>
      <w:pPr>
        <w:spacing w:before="400"/>
      </w:pPr>
    </w:p>
    <w:p>
      <w:pPr>
        <w:shd w:fill="F5F7F9" w:val="clear"/>
        <w:spacing w:before="200" w:after="200"/>
        <w:ind w:left="360" w:right="360"/>
      </w:pPr>
      <w:r>
        <w:rPr>
          <w:b/>
          <w:bCs/>
          <w:color w:val="1F7A8C"/>
        </w:rPr>
        <w:t xml:space="preserve">Build Note: </w:t>
      </w:r>
      <w:r>
        <w:t xml:space="preserve">Use the NexWell logo as the definitive brand anchor. The connected nodes icon should inspire subtle pattern elements throughout. Teal is the dominant brand color; gold is for accents and CTAs. Prioritize clarity over cleverness. Healthcare executives want substance. Mobile experience must be equally polished.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NexWell Health Partners | Landing Page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34B54"/>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7A8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34B5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9A2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e90cbfc6cfe5faa817140748bde76cee9a2c95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2025-12-18T02:44:22.316Z</dcterms:created>
  <dcterms:modified xsi:type="dcterms:W3CDTF">2025-12-18T02:44:22.317Z</dcterms:modified>
</cp:coreProperties>
</file>

<file path=docProps/custom.xml><?xml version="1.0" encoding="utf-8"?>
<Properties xmlns="http://schemas.openxmlformats.org/officeDocument/2006/custom-properties" xmlns:vt="http://schemas.openxmlformats.org/officeDocument/2006/docPropsVTypes"/>
</file>