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AF0E" w14:textId="77777777" w:rsidR="00CA37F7" w:rsidRPr="006034AD" w:rsidRDefault="00C3158A" w:rsidP="006034AD">
      <w:pPr>
        <w:pStyle w:val="Heading2"/>
        <w:rPr>
          <w:b/>
          <w:sz w:val="26"/>
          <w:szCs w:val="26"/>
        </w:rPr>
      </w:pPr>
      <w:r w:rsidRPr="006034AD">
        <w:rPr>
          <w:b/>
          <w:sz w:val="26"/>
          <w:szCs w:val="26"/>
        </w:rPr>
        <w:t>Abstract</w:t>
      </w:r>
    </w:p>
    <w:p w14:paraId="20736283" w14:textId="03339E99" w:rsidR="00E52DAF" w:rsidRDefault="00CA0546" w:rsidP="00CA0546">
      <w:r>
        <w:t xml:space="preserve">Signal processing techniques are </w:t>
      </w:r>
      <w:r w:rsidR="00D04AB6">
        <w:t>frequently used</w:t>
      </w:r>
      <w:r>
        <w:t xml:space="preserve"> in equity and commodities trading strategies. Also called technical analysis, these signal processing methods</w:t>
      </w:r>
      <w:r w:rsidR="00F35048">
        <w:t xml:space="preserve"> often</w:t>
      </w:r>
      <w:r>
        <w:t xml:space="preserve"> disregard and outperform fundamental</w:t>
      </w:r>
      <w:r w:rsidR="00F35048">
        <w:t xml:space="preserve"> equity</w:t>
      </w:r>
      <w:r>
        <w:t xml:space="preserve"> valuation methods such as buying and selling securities based o</w:t>
      </w:r>
      <w:r w:rsidR="00137303">
        <w:t>n a price to earnings ratio [1</w:t>
      </w:r>
      <w:r>
        <w:t xml:space="preserve">]. </w:t>
      </w:r>
      <w:r w:rsidR="002D3712">
        <w:t>Technical</w:t>
      </w:r>
      <w:r>
        <w:t xml:space="preserve"> analysis uses historical data to make bets on the future of stock prices given key assumptions. </w:t>
      </w:r>
      <w:r w:rsidR="002D3712">
        <w:t>In this paper, w</w:t>
      </w:r>
      <w:r>
        <w:t>e empirically analyze strategies for one technical analysis method:</w:t>
      </w:r>
      <w:r w:rsidR="002D3712">
        <w:t xml:space="preserve"> signal frontier analysis. Specifically, we explore </w:t>
      </w:r>
      <w:r w:rsidR="002D7029">
        <w:t xml:space="preserve">the optimization of </w:t>
      </w:r>
      <w:r w:rsidR="002D3712">
        <w:t>a sub-strategy of signal frontier analysis called momentum investing and</w:t>
      </w:r>
      <w:r w:rsidR="00443996">
        <w:t xml:space="preserve"> its</w:t>
      </w:r>
      <w:r w:rsidR="00200185">
        <w:t xml:space="preserve"> two key parameters:</w:t>
      </w:r>
      <w:r w:rsidR="002D3712">
        <w:t xml:space="preserve"> lookback period and holding period</w:t>
      </w:r>
      <w:r w:rsidR="002B2A07">
        <w:t>. G</w:t>
      </w:r>
      <w:r w:rsidR="001A3CE7">
        <w:t>iven a portfolio of stocks experiencing significant positive returns</w:t>
      </w:r>
      <w:r w:rsidR="00137303">
        <w:t xml:space="preserve"> over a year and a half time frame</w:t>
      </w:r>
      <w:r w:rsidR="00417322">
        <w:t>, we test</w:t>
      </w:r>
      <w:r w:rsidR="002B2A07">
        <w:t xml:space="preserve"> </w:t>
      </w:r>
      <w:r w:rsidR="00417322">
        <w:t>short-term, intermediate-</w:t>
      </w:r>
      <w:r w:rsidR="002B2A07">
        <w:t xml:space="preserve">term and </w:t>
      </w:r>
      <w:r w:rsidR="00417322">
        <w:t>long-term</w:t>
      </w:r>
      <w:r w:rsidR="002B2A07">
        <w:t xml:space="preserve"> lookback periods and their associated holding periods</w:t>
      </w:r>
      <w:r w:rsidR="00417322">
        <w:t xml:space="preserve"> to determine which offers the great risk adjusted return</w:t>
      </w:r>
      <w:r w:rsidR="002D3712">
        <w:t xml:space="preserve">. </w:t>
      </w:r>
      <w:r w:rsidR="00C15B05">
        <w:t xml:space="preserve">Utilizing </w:t>
      </w:r>
      <w:r w:rsidR="00200185">
        <w:t xml:space="preserve">the </w:t>
      </w:r>
      <w:r w:rsidR="00C15B05">
        <w:t>Sharpe ratio as our performance metric</w:t>
      </w:r>
      <w:r w:rsidR="00420449">
        <w:t xml:space="preserve"> for comparison</w:t>
      </w:r>
      <w:r w:rsidR="00C15B05">
        <w:t>, w</w:t>
      </w:r>
      <w:r>
        <w:t xml:space="preserve">e find that intermediate term momentum investing strategies result in the </w:t>
      </w:r>
      <w:r w:rsidR="00443996">
        <w:t xml:space="preserve">greatest </w:t>
      </w:r>
      <w:r w:rsidR="00DC50AA">
        <w:t>risk adjusted return.</w:t>
      </w:r>
    </w:p>
    <w:p w14:paraId="4DE46E1D" w14:textId="77777777" w:rsidR="00CA37F7" w:rsidRPr="006034AD" w:rsidRDefault="00C3158A" w:rsidP="006034AD">
      <w:pPr>
        <w:pStyle w:val="Heading2"/>
        <w:rPr>
          <w:b/>
          <w:sz w:val="26"/>
          <w:szCs w:val="26"/>
        </w:rPr>
      </w:pPr>
      <w:r w:rsidRPr="006034AD">
        <w:rPr>
          <w:b/>
          <w:sz w:val="26"/>
          <w:szCs w:val="26"/>
        </w:rPr>
        <w:t>Introduction</w:t>
      </w:r>
    </w:p>
    <w:p w14:paraId="4F6126E0" w14:textId="6B79F670" w:rsidR="00CA0546" w:rsidRDefault="00CA0546" w:rsidP="00CA0546">
      <w:r>
        <w:t>Time series data is plentiful in finance. Equities are traded in nanoseconds based on market signals. Investment firms often employ engineers and other technically trained individuals to apply signal processing methods to financial time series data. This practice has unearthed multitudes of algorithms and data analysis methods for trading equities all now considered "technical analysis." Thes</w:t>
      </w:r>
      <w:r w:rsidR="002D3712">
        <w:t>e technical analysis methods</w:t>
      </w:r>
      <w:r>
        <w:t xml:space="preserve"> often run contrary to the idea of the efficient market hypothesis, which assumes that security prices reflect all available information.</w:t>
      </w:r>
    </w:p>
    <w:p w14:paraId="5D1D4A99" w14:textId="77777777" w:rsidR="00CA0546" w:rsidRDefault="00CA0546" w:rsidP="00CA0546"/>
    <w:p w14:paraId="47C3A6A6" w14:textId="4C4BA5DF" w:rsidR="00CA0546" w:rsidRDefault="00CA0546" w:rsidP="00CA0546">
      <w:r>
        <w:t xml:space="preserve">One such technical analysis method is momentum investing. At the heart of momentum investing is the assumption that signals are rarely completely random and have some degree of consistency of pattern [1]. Momentum investing also assumes that once a trend is established, the trend is likely to continue rather than revert. Investors applying a momentum strategy make </w:t>
      </w:r>
      <w:r w:rsidR="00254E1E">
        <w:t>bets on the future based on these</w:t>
      </w:r>
      <w:r>
        <w:t xml:space="preserve"> trend</w:t>
      </w:r>
      <w:r w:rsidR="00254E1E">
        <w:t>s</w:t>
      </w:r>
      <w:r>
        <w:t xml:space="preserve"> instead of the current stock price and fundamental analysis methods such as liquidity and price to earnings ratios.</w:t>
      </w:r>
      <w:r w:rsidR="004149A6">
        <w:t xml:space="preserve"> In this paper, we empirically analyze and determine the optimal momentum investing strategy for a portfolio of fast food equit</w:t>
      </w:r>
      <w:r w:rsidR="00F503C5">
        <w:t>ies. We specifically choose the fast food</w:t>
      </w:r>
      <w:r w:rsidR="004149A6">
        <w:t xml:space="preserve"> industry because of the tremendous growth in the timeframe analyzed</w:t>
      </w:r>
      <w:r w:rsidR="00F503C5">
        <w:t>. Our objective is</w:t>
      </w:r>
      <w:r w:rsidR="00254E1E">
        <w:t xml:space="preserve"> </w:t>
      </w:r>
      <w:r w:rsidR="00F2780A">
        <w:t xml:space="preserve">to test previous analysis showing </w:t>
      </w:r>
      <w:r w:rsidR="00254E1E">
        <w:t xml:space="preserve">intermediate term </w:t>
      </w:r>
      <w:r w:rsidR="00F2780A">
        <w:t xml:space="preserve">momentum </w:t>
      </w:r>
      <w:r w:rsidR="00254E1E">
        <w:t>strategies</w:t>
      </w:r>
      <w:r w:rsidR="00F2780A">
        <w:t xml:space="preserve"> superiority</w:t>
      </w:r>
      <w:r w:rsidR="00254E1E">
        <w:t xml:space="preserve"> [2]</w:t>
      </w:r>
      <w:r w:rsidR="00F2780A">
        <w:t xml:space="preserve"> in a faster than market (S&amp;P 500) growth portfolio</w:t>
      </w:r>
      <w:r w:rsidR="004149A6">
        <w:t xml:space="preserve">. </w:t>
      </w:r>
    </w:p>
    <w:p w14:paraId="74BBE0B2" w14:textId="77777777" w:rsidR="008D501C" w:rsidRDefault="008D501C" w:rsidP="00CA0546"/>
    <w:p w14:paraId="134D2D3C" w14:textId="0E2B09D4" w:rsidR="008D501C" w:rsidRDefault="008D501C" w:rsidP="008D501C">
      <w:r>
        <w:t xml:space="preserve">Momentum investing can be classified into cross-sectional or time-series based momentum. The latter compares historical returns from a stock with respect to the stock itself, whereas cross-sectional momentum compares historical returns from a stock relative to other securities. In our case, </w:t>
      </w:r>
      <w:r w:rsidR="00E047C1">
        <w:t xml:space="preserve">we </w:t>
      </w:r>
      <w:r w:rsidR="00BD61A6">
        <w:t>analyze</w:t>
      </w:r>
      <w:r>
        <w:t xml:space="preserve"> a cross-sectional momentum portfolio</w:t>
      </w:r>
      <w:r w:rsidR="003E4E53">
        <w:t xml:space="preserve"> of fast food stocks</w:t>
      </w:r>
      <w:r>
        <w:t>.</w:t>
      </w:r>
    </w:p>
    <w:p w14:paraId="37DD0AB1" w14:textId="77777777" w:rsidR="00CA0546" w:rsidRDefault="00CA0546" w:rsidP="00CA0546"/>
    <w:p w14:paraId="35F000B8" w14:textId="536355AA" w:rsidR="00CA0546" w:rsidRDefault="00CA0546" w:rsidP="00CA0546">
      <w:r>
        <w:t>A momentum investor's goal is to capitalize on the continuance of existing trends in the market [</w:t>
      </w:r>
      <w:r w:rsidR="00A90F24">
        <w:t>3</w:t>
      </w:r>
      <w:r w:rsidR="00BE1173">
        <w:t>] utilizing</w:t>
      </w:r>
      <w:r>
        <w:t xml:space="preserve"> two critical parameters</w:t>
      </w:r>
      <w:r w:rsidR="00BE1173">
        <w:t xml:space="preserve">: the lookback </w:t>
      </w:r>
      <w:r w:rsidR="00394B0D">
        <w:t xml:space="preserve">period </w:t>
      </w:r>
      <w:r w:rsidR="00BE1173">
        <w:t xml:space="preserve">and </w:t>
      </w:r>
      <w:r w:rsidR="006B58D6">
        <w:t xml:space="preserve">the </w:t>
      </w:r>
      <w:r w:rsidR="00BE1173">
        <w:t>holding period</w:t>
      </w:r>
      <w:r w:rsidR="00AF1EFF">
        <w:t>. Typically, a momentum</w:t>
      </w:r>
      <w:r>
        <w:t xml:space="preserve"> investor will take a long position in an asset that is trending upward and a short position in an asset that is trending downward. The most common tool to establish this trending component is to draw a line between two points on a time series and calculate a cumulative return:</w:t>
      </w:r>
    </w:p>
    <w:p w14:paraId="40F018E1" w14:textId="77777777" w:rsidR="00443996" w:rsidRDefault="00443996" w:rsidP="00CA0546"/>
    <w:p w14:paraId="5B04F2B9" w14:textId="2E4336BE" w:rsidR="00B21F4A" w:rsidRDefault="00B21F4A" w:rsidP="00B21F4A">
      <w:pPr>
        <w:jc w:val="center"/>
        <w:rPr>
          <w:sz w:val="20"/>
          <w:szCs w:val="20"/>
        </w:rPr>
      </w:pPr>
      <w:r w:rsidRPr="00B21F4A">
        <w:rPr>
          <w:sz w:val="20"/>
          <w:szCs w:val="20"/>
        </w:rPr>
        <w:t>Equation 1: Momentum Calculation</w:t>
      </w:r>
    </w:p>
    <w:p w14:paraId="6397D3DD" w14:textId="77777777" w:rsidR="00B21F4A" w:rsidRPr="00B21F4A" w:rsidRDefault="00B21F4A" w:rsidP="00B21F4A">
      <w:pPr>
        <w:jc w:val="center"/>
        <w:rPr>
          <w:sz w:val="20"/>
          <w:szCs w:val="20"/>
        </w:rPr>
      </w:pPr>
    </w:p>
    <w:p w14:paraId="28D4AB50" w14:textId="4222486A" w:rsidR="00B63348" w:rsidRDefault="00B63348" w:rsidP="00CA0546">
      <m:oMathPara>
        <m:oMath>
          <m:r>
            <w:rPr>
              <w:rFonts w:ascii="Cambria Math" w:hAnsi="Cambria Math"/>
            </w:rPr>
            <m:t>return=</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A8B7274" w14:textId="77777777" w:rsidR="00CA0546" w:rsidRDefault="00CA0546" w:rsidP="00CA0546"/>
    <w:p w14:paraId="72B28E26" w14:textId="585084ED" w:rsidR="00CA0546" w:rsidRDefault="00CA0546" w:rsidP="00CA0546">
      <w:r>
        <w:t>Where</w:t>
      </w:r>
      <w:r w:rsidR="00AF1EFF">
        <w:t xml:space="preserve"> </w:t>
      </w:r>
      <m:oMath>
        <m:r>
          <w:rPr>
            <w:rFonts w:ascii="Cambria Math" w:hAnsi="Cambria Math"/>
          </w:rPr>
          <m:t>t</m:t>
        </m:r>
      </m:oMath>
      <w:r>
        <w:t xml:space="preserve"> </w:t>
      </w:r>
      <w:r w:rsidR="00AF1EFF">
        <w:t xml:space="preserve">represents the daily return </w:t>
      </w:r>
      <w:r w:rsidR="00A30429">
        <w:t xml:space="preserve">for a given business day and </w:t>
      </w:r>
      <w:r>
        <w:t>the difference</w:t>
      </w:r>
      <w:r w:rsidR="00A30429">
        <w:t xml:space="preserve"> of daily returns</w:t>
      </w:r>
      <w:r>
        <w:t xml:space="preserve"> </w:t>
      </w:r>
      <w:r w:rsidR="00A30429">
        <w:t>for</w:t>
      </w:r>
      <w:r>
        <w:t xml:space="preserve"> time two and time one</w:t>
      </w:r>
      <w:r w:rsidR="00A30429">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t xml:space="preserve"> is </w:t>
      </w:r>
      <w:r w:rsidR="00A30429">
        <w:t xml:space="preserve">defined by </w:t>
      </w:r>
      <w:r>
        <w:t>the lookback period.</w:t>
      </w:r>
      <w:r w:rsidR="00A30429">
        <w:t xml:space="preserve"> For example, </w:t>
      </w:r>
      <w:r w:rsidR="006A41AD">
        <w:t xml:space="preserve">a lookback period of ten days would consider returns at a given business day as time two and returns at the given business day minus ten business days as time two. The ten days are the lookback period. </w:t>
      </w:r>
      <w:r>
        <w:t>This lookback period can be many frequency types: daily, hourly, monthly or yearly. In this paper, we choose a busines</w:t>
      </w:r>
      <w:r w:rsidR="006A41AD">
        <w:t>s daily lookback frequency. The</w:t>
      </w:r>
      <w:r>
        <w:t xml:space="preserve"> lookback period and associated return</w:t>
      </w:r>
      <w:r w:rsidR="00443996">
        <w:t>s</w:t>
      </w:r>
      <w:r w:rsidR="008D501C">
        <w:t xml:space="preserve"> for a portfolio</w:t>
      </w:r>
      <w:r>
        <w:t xml:space="preserve"> allow </w:t>
      </w:r>
      <w:r w:rsidR="008D501C">
        <w:t xml:space="preserve">for the </w:t>
      </w:r>
      <w:r>
        <w:t xml:space="preserve">weighting of </w:t>
      </w:r>
      <w:r w:rsidR="008D501C">
        <w:t>each investment</w:t>
      </w:r>
      <w:r>
        <w:t xml:space="preserve"> in a portfolio. For example, given a lookback period of 30 days, if two out of five stocks are trending downward (have a negative return), these stocks would be down weighted in the portfolio. If the remaining stocks have an increasing trend, these stocks would be </w:t>
      </w:r>
      <w:r w:rsidR="008D501C">
        <w:t>up weighted</w:t>
      </w:r>
      <w:r>
        <w:t xml:space="preserve"> in the portfolio.</w:t>
      </w:r>
      <w:r w:rsidR="008D501C">
        <w:t xml:space="preserve"> </w:t>
      </w:r>
    </w:p>
    <w:p w14:paraId="470448FB" w14:textId="77777777" w:rsidR="00CA0546" w:rsidRDefault="00CA0546" w:rsidP="00CA0546"/>
    <w:p w14:paraId="0A70A4B9" w14:textId="40715298" w:rsidR="00CA0546" w:rsidRDefault="00A45075" w:rsidP="00CA0546">
      <w:r>
        <w:t>Based</w:t>
      </w:r>
      <w:r w:rsidR="00DF5AF7">
        <w:t xml:space="preserve"> on the signal provided by a given lookback period, </w:t>
      </w:r>
      <w:r w:rsidR="00BD61A6">
        <w:t>a momentum investor retains</w:t>
      </w:r>
      <w:r w:rsidR="00CA0546">
        <w:t xml:space="preserve"> </w:t>
      </w:r>
      <w:r w:rsidR="00EC2868">
        <w:t>a portfolio mix</w:t>
      </w:r>
      <w:r w:rsidR="00CA0546">
        <w:t xml:space="preserve"> of </w:t>
      </w:r>
      <w:r w:rsidR="00BF2A33">
        <w:t>up-weighted</w:t>
      </w:r>
      <w:r w:rsidR="00CA0546">
        <w:t xml:space="preserve"> and </w:t>
      </w:r>
      <w:r w:rsidR="004112E4">
        <w:t>down-weighted</w:t>
      </w:r>
      <w:r w:rsidR="00CA0546">
        <w:t xml:space="preserve"> stocks over a given "holding period," capturing </w:t>
      </w:r>
      <w:r w:rsidR="005C263E">
        <w:t>cumulative</w:t>
      </w:r>
      <w:r w:rsidR="00CA0546">
        <w:t xml:space="preserve"> returns </w:t>
      </w:r>
      <w:r w:rsidR="005C263E">
        <w:t>over the holding period</w:t>
      </w:r>
      <w:r w:rsidR="00CA0546">
        <w:t>. This holding period can also take on any frequency, however, it should be consistent with the lookback period frequency</w:t>
      </w:r>
      <w:r w:rsidR="00C7497B">
        <w:t xml:space="preserve"> in order to apply momentum weights appropriately</w:t>
      </w:r>
      <w:r w:rsidR="00CA0546">
        <w:t>.</w:t>
      </w:r>
      <w:r w:rsidR="00EC2868">
        <w:t xml:space="preserve"> The ultimate goal is to maximize returns based on historical trends.</w:t>
      </w:r>
    </w:p>
    <w:p w14:paraId="1E6BF106" w14:textId="77777777" w:rsidR="00CA0546" w:rsidRDefault="00CA0546" w:rsidP="00CA0546"/>
    <w:p w14:paraId="2E0A4647" w14:textId="0D315A57" w:rsidR="00CA0546" w:rsidRDefault="00CA0546" w:rsidP="00CA0546">
      <w:r>
        <w:t xml:space="preserve">Based on the choice of lookback period, momentum investment strategies can be broken down into three different sub-strategies: short term, intermediate term and </w:t>
      </w:r>
      <w:r w:rsidR="008A2B56">
        <w:t>long-term</w:t>
      </w:r>
      <w:r>
        <w:t xml:space="preserve"> momentum. Short term momentum strategies utilize one month or less of a lookback period, while long term strategies typically utilize greater than three years</w:t>
      </w:r>
      <w:r w:rsidR="00443996">
        <w:t xml:space="preserve"> for a lookback period</w:t>
      </w:r>
      <w:r>
        <w:t xml:space="preserve">. Both long and </w:t>
      </w:r>
      <w:r w:rsidR="008A2B56">
        <w:t>short-term</w:t>
      </w:r>
      <w:r>
        <w:t xml:space="preserve"> strategies have been empirically shown to experience significant reversion. Trends often change to the detriment of the investor [</w:t>
      </w:r>
      <w:r w:rsidR="00536E94">
        <w:t>4</w:t>
      </w:r>
      <w:r>
        <w:t xml:space="preserve">]. However, intermediate term strategies, which use a lookback period of six to </w:t>
      </w:r>
      <w:r w:rsidR="00BD61A6">
        <w:t>twelve</w:t>
      </w:r>
      <w:r>
        <w:t xml:space="preserve"> months show greater success, </w:t>
      </w:r>
      <w:r w:rsidR="00DF5AF7">
        <w:t xml:space="preserve">often </w:t>
      </w:r>
      <w:r>
        <w:t xml:space="preserve">resulting in no </w:t>
      </w:r>
      <w:r w:rsidR="00536E94">
        <w:t xml:space="preserve">reversals </w:t>
      </w:r>
      <w:r w:rsidR="008A2B56">
        <w:t>[</w:t>
      </w:r>
      <w:r w:rsidR="00536E94">
        <w:t>1</w:t>
      </w:r>
      <w:r>
        <w:t>]</w:t>
      </w:r>
      <w:r w:rsidR="00536E94">
        <w:t>.</w:t>
      </w:r>
    </w:p>
    <w:p w14:paraId="56D77273" w14:textId="77777777" w:rsidR="00CA0546" w:rsidRDefault="00CA0546" w:rsidP="00CA0546"/>
    <w:p w14:paraId="224E7B93" w14:textId="64EDCB19" w:rsidR="00F355B4" w:rsidRDefault="00443996" w:rsidP="00CA0546">
      <w:r>
        <w:t>An acceptable</w:t>
      </w:r>
      <w:r w:rsidR="00D36EE0">
        <w:t xml:space="preserve"> metric to evaluate the performance </w:t>
      </w:r>
      <w:r w:rsidR="00F078E6">
        <w:t xml:space="preserve">for </w:t>
      </w:r>
      <w:r>
        <w:t>the portfolio</w:t>
      </w:r>
      <w:r w:rsidR="00F078E6">
        <w:t xml:space="preserve"> is the Sharp</w:t>
      </w:r>
      <w:r w:rsidR="003B1FDC">
        <w:t>e</w:t>
      </w:r>
      <w:r w:rsidR="00F078E6">
        <w:t xml:space="preserve"> ratio</w:t>
      </w:r>
      <w:r w:rsidR="00B90870">
        <w:t>. It compares the “</w:t>
      </w:r>
      <w:r w:rsidR="00B90870" w:rsidRPr="00B90870">
        <w:t xml:space="preserve">mean average of the excess returns of the asset or strategy with the standard </w:t>
      </w:r>
      <w:r w:rsidR="00B90870" w:rsidRPr="00B90870">
        <w:lastRenderedPageBreak/>
        <w:t>deviation of those returns</w:t>
      </w:r>
      <w:r w:rsidR="00F1515D">
        <w:t>” [5</w:t>
      </w:r>
      <w:r w:rsidR="00B90870">
        <w:t>]</w:t>
      </w:r>
      <w:r>
        <w:t xml:space="preserve">. The Sharpe ratio helps to balance returns with volatility, resulting in a metric that allows an investor to judge both risk and return </w:t>
      </w:r>
      <w:r w:rsidR="0035108A">
        <w:t>simultaneously</w:t>
      </w:r>
      <w:r>
        <w:t>.</w:t>
      </w:r>
    </w:p>
    <w:p w14:paraId="0CC93DCC" w14:textId="77777777" w:rsidR="00720A64" w:rsidRDefault="00720A64" w:rsidP="00CA0546"/>
    <w:p w14:paraId="52A7B201" w14:textId="621B5972" w:rsidR="00B21F4A" w:rsidRPr="00B21F4A" w:rsidRDefault="00B21F4A" w:rsidP="00B21F4A">
      <w:pPr>
        <w:jc w:val="center"/>
        <w:rPr>
          <w:sz w:val="20"/>
          <w:szCs w:val="20"/>
        </w:rPr>
      </w:pPr>
      <w:r w:rsidRPr="00B21F4A">
        <w:rPr>
          <w:sz w:val="20"/>
          <w:szCs w:val="20"/>
        </w:rPr>
        <w:t>Equation 2: Sharpe Ratio</w:t>
      </w:r>
    </w:p>
    <w:p w14:paraId="0664BFB6" w14:textId="77777777" w:rsidR="00B21F4A" w:rsidRDefault="00B21F4A" w:rsidP="00B21F4A">
      <w:pPr>
        <w:jc w:val="center"/>
      </w:pPr>
    </w:p>
    <w:p w14:paraId="59F7A2D8" w14:textId="3F156037" w:rsidR="00634714" w:rsidRDefault="0062173E" w:rsidP="00634714">
      <w:pPr>
        <w:jc w:val="center"/>
      </w:pPr>
      <m:oMath>
        <m:r>
          <w:rPr>
            <w:rFonts w:ascii="Cambria Math" w:hAnsi="Cambria Math"/>
          </w:rPr>
          <m:t>Sharpe ratio=</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w:r w:rsidR="00634714">
        <w:t>,</w:t>
      </w:r>
    </w:p>
    <w:p w14:paraId="666B0B51" w14:textId="77777777" w:rsidR="00443996" w:rsidRDefault="00443996" w:rsidP="00634714">
      <w:pPr>
        <w:jc w:val="center"/>
      </w:pPr>
    </w:p>
    <w:p w14:paraId="37E7690E" w14:textId="391751BD" w:rsidR="005D01CE" w:rsidRDefault="0062173E" w:rsidP="00EC2868">
      <w:pPr>
        <w:spacing w:line="240" w:lineRule="auto"/>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oMath>
      <w:r>
        <w:t xml:space="preserve"> is the expected portfolio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w:t>
      </w:r>
      <w:r w:rsidR="00634714">
        <w:t>risk-free</w:t>
      </w:r>
      <w:r>
        <w:t xml:space="preserve"> rate, and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634714">
        <w:t xml:space="preserve"> is th</w:t>
      </w:r>
      <w:r w:rsidR="00F1515D">
        <w:t>e portfolio standard deviation.</w:t>
      </w:r>
      <w:r w:rsidR="00443996">
        <w:t xml:space="preserve"> Typically, Sharpe Ratios greater than one are considered good. </w:t>
      </w:r>
      <w:r w:rsidR="00F1515D">
        <w:t xml:space="preserve">In our case, given base code from McKinney’s “Python for Data Analysis” [6], we consider a simplified Sharpe ratio that excludes the </w:t>
      </w:r>
      <w:r w:rsidR="00244977">
        <w:t>risk-free</w:t>
      </w:r>
      <w:r w:rsidR="00F1515D">
        <w:t xml:space="preserve"> difference in the numerator. This metric still allows us to judge portfolio returns based on risk and return, but does not consider excess returns over the </w:t>
      </w:r>
      <w:r w:rsidR="00244977">
        <w:t>risk-free</w:t>
      </w:r>
      <w:r w:rsidR="00F1515D">
        <w:t xml:space="preserve"> rate</w:t>
      </w:r>
      <w:r w:rsidR="00244977">
        <w:t>, which is usually based on treasury bond rates</w:t>
      </w:r>
      <w:r w:rsidR="00F1515D">
        <w:t>.</w:t>
      </w:r>
    </w:p>
    <w:p w14:paraId="60D108C8" w14:textId="77777777" w:rsidR="004149A6" w:rsidRDefault="004149A6"/>
    <w:p w14:paraId="243A87CD" w14:textId="73D028AF" w:rsidR="004149A6" w:rsidRDefault="0004788D" w:rsidP="004149A6">
      <w:r>
        <w:t>Ultimately</w:t>
      </w:r>
      <w:r w:rsidR="004149A6">
        <w:t xml:space="preserve">, we use seven fast food equities to test various lookback and holding periods of a cross-sectional momentum investing strategy. Our portfolio includes </w:t>
      </w:r>
      <w:r w:rsidR="004149A6" w:rsidRPr="00513046">
        <w:t xml:space="preserve">Domino's, Papa John's, Yum Brands, Papa Murphy's, McDonalds, Kraft Heinz, </w:t>
      </w:r>
      <w:r w:rsidR="004149A6">
        <w:t xml:space="preserve">and </w:t>
      </w:r>
      <w:r w:rsidR="004149A6" w:rsidRPr="00513046">
        <w:t>Dave and Buster's</w:t>
      </w:r>
      <w:r w:rsidR="004149A6">
        <w:t xml:space="preserve">. The data collected is extracted from Yahoo Finance and the date range is from January 1st, 2016 to June 1st, 2017. </w:t>
      </w:r>
      <w:r>
        <w:t xml:space="preserve">Our objective, as stated previously, is to test the hypothesis that </w:t>
      </w:r>
      <w:r w:rsidR="000E2F46">
        <w:t xml:space="preserve">intermediate term momentum strategies outperform long and </w:t>
      </w:r>
      <w:r w:rsidR="009B7E30">
        <w:t>short-term</w:t>
      </w:r>
      <w:r w:rsidR="000E2F46">
        <w:t xml:space="preserve"> strategies for a portfolio that outpaces the market (S&amp;P 500).</w:t>
      </w:r>
    </w:p>
    <w:p w14:paraId="46C5B67D" w14:textId="77777777" w:rsidR="00136C72" w:rsidRPr="00D11217" w:rsidRDefault="00136C72"/>
    <w:p w14:paraId="2B019A40" w14:textId="55B42CDE" w:rsidR="000F5098" w:rsidRPr="000F5098" w:rsidRDefault="00C3158A" w:rsidP="006034AD">
      <w:pPr>
        <w:spacing w:line="300" w:lineRule="auto"/>
        <w:rPr>
          <w:b/>
          <w:sz w:val="26"/>
          <w:szCs w:val="26"/>
        </w:rPr>
      </w:pPr>
      <w:bookmarkStart w:id="0" w:name="_6ggs5awmsx3n" w:colFirst="0" w:colLast="0"/>
      <w:bookmarkStart w:id="1" w:name="_ikoj4eftbxau" w:colFirst="0" w:colLast="0"/>
      <w:bookmarkEnd w:id="0"/>
      <w:bookmarkEnd w:id="1"/>
      <w:r w:rsidRPr="006034AD">
        <w:rPr>
          <w:b/>
          <w:sz w:val="26"/>
          <w:szCs w:val="26"/>
        </w:rPr>
        <w:t>Methods</w:t>
      </w:r>
    </w:p>
    <w:p w14:paraId="07DFC54F" w14:textId="533B026F" w:rsidR="00FE4BF0" w:rsidRDefault="00FE4BF0" w:rsidP="006034AD">
      <w:pPr>
        <w:spacing w:line="300" w:lineRule="auto"/>
      </w:pPr>
      <w:r>
        <w:t xml:space="preserve">In order to empirically investigate lookback and holding periods </w:t>
      </w:r>
      <w:r w:rsidR="00EC2868">
        <w:t xml:space="preserve">to find the optimal momentum investing parameters </w:t>
      </w:r>
      <w:r>
        <w:t>for our fast food equity portfolio, it is imperative to establish a search</w:t>
      </w:r>
      <w:r w:rsidR="00EC2868">
        <w:t>ing</w:t>
      </w:r>
      <w:r>
        <w:t xml:space="preserve"> solution. This means testing over various combinations of lookback and holding periods an</w:t>
      </w:r>
      <w:r w:rsidR="009B7E30">
        <w:t>d calculating resulting Sharpe r</w:t>
      </w:r>
      <w:r>
        <w:t xml:space="preserve">atios. Specifically, we test lookback and holding periods </w:t>
      </w:r>
      <w:r w:rsidR="00B61DAD">
        <w:t xml:space="preserve">from 10 to </w:t>
      </w:r>
      <w:r>
        <w:t>360 business days</w:t>
      </w:r>
      <w:r w:rsidR="00B61DAD">
        <w:t>, considered</w:t>
      </w:r>
      <w:r>
        <w:t xml:space="preserve"> in </w:t>
      </w:r>
      <w:r w:rsidR="00FC2E72">
        <w:t xml:space="preserve">10 business </w:t>
      </w:r>
      <w:r>
        <w:t xml:space="preserve">day increments.  </w:t>
      </w:r>
    </w:p>
    <w:p w14:paraId="2EA1231E" w14:textId="77777777" w:rsidR="00FE4BF0" w:rsidRDefault="00FE4BF0" w:rsidP="006034AD">
      <w:pPr>
        <w:spacing w:line="300" w:lineRule="auto"/>
      </w:pPr>
    </w:p>
    <w:p w14:paraId="52F85EEF" w14:textId="1326F14E" w:rsidR="0025718F" w:rsidRDefault="00FE4BF0" w:rsidP="006034AD">
      <w:pPr>
        <w:spacing w:line="300" w:lineRule="auto"/>
      </w:pPr>
      <w:r>
        <w:t xml:space="preserve">The Sharpe </w:t>
      </w:r>
      <w:r w:rsidR="00EC2868">
        <w:t xml:space="preserve">ratio gives a final comparison </w:t>
      </w:r>
      <w:r>
        <w:t xml:space="preserve">for each combination </w:t>
      </w:r>
      <w:r w:rsidR="00EC2868">
        <w:t xml:space="preserve">of lookback and holding period </w:t>
      </w:r>
      <w:r>
        <w:t>analyzed</w:t>
      </w:r>
      <w:r w:rsidR="00025472">
        <w:t>,</w:t>
      </w:r>
      <w:r>
        <w:t xml:space="preserve"> allowing us to </w:t>
      </w:r>
      <w:r w:rsidR="00EC2868">
        <w:t xml:space="preserve">compare strategies with one performance metric. </w:t>
      </w:r>
      <w:r w:rsidR="00D47645">
        <w:t>To accomplish this, we first have</w:t>
      </w:r>
      <w:r w:rsidR="00025472">
        <w:t xml:space="preserve"> to </w:t>
      </w:r>
      <w:r w:rsidR="000C5145">
        <w:t>create</w:t>
      </w:r>
      <w:r w:rsidR="00025472">
        <w:t xml:space="preserve"> the portfolio by </w:t>
      </w:r>
      <w:r w:rsidR="00EC2868">
        <w:t>extracting historical Yahoo! finance stock prices</w:t>
      </w:r>
      <w:r w:rsidR="0092695E">
        <w:t>, then ensure</w:t>
      </w:r>
      <w:r w:rsidR="00025472">
        <w:t xml:space="preserve"> t</w:t>
      </w:r>
      <w:r w:rsidR="0092695E">
        <w:t xml:space="preserve">hat the adjusted close data is </w:t>
      </w:r>
      <w:r w:rsidR="00025472">
        <w:t>accurate.</w:t>
      </w:r>
      <w:r w:rsidR="000C5145">
        <w:t xml:space="preserve"> We cho</w:t>
      </w:r>
      <w:r w:rsidR="000F5840">
        <w:t>o</w:t>
      </w:r>
      <w:r w:rsidR="000C5145">
        <w:t>se a date range of J</w:t>
      </w:r>
      <w:r w:rsidR="005867B0">
        <w:t>anuary 1, 2016 to June 1, 2017, considering business days</w:t>
      </w:r>
      <w:r w:rsidR="00C745B4">
        <w:t>.</w:t>
      </w:r>
    </w:p>
    <w:p w14:paraId="2318001A" w14:textId="1743344A" w:rsidR="0025718F" w:rsidRDefault="0025718F" w:rsidP="006034AD">
      <w:pPr>
        <w:spacing w:line="300" w:lineRule="auto"/>
      </w:pPr>
    </w:p>
    <w:p w14:paraId="0ED833AD" w14:textId="0D6FCB48" w:rsidR="0025718F" w:rsidRPr="00EC2868" w:rsidRDefault="001D3360" w:rsidP="00EC2868">
      <w:pPr>
        <w:spacing w:line="300" w:lineRule="auto"/>
        <w:jc w:val="center"/>
        <w:rPr>
          <w:sz w:val="20"/>
          <w:szCs w:val="20"/>
        </w:rPr>
      </w:pPr>
      <w:r>
        <w:rPr>
          <w:sz w:val="20"/>
          <w:szCs w:val="20"/>
        </w:rPr>
        <w:t xml:space="preserve">Table </w:t>
      </w:r>
      <w:r w:rsidR="000775BB" w:rsidRPr="00EC2868">
        <w:rPr>
          <w:sz w:val="20"/>
          <w:szCs w:val="20"/>
        </w:rPr>
        <w:t>1</w:t>
      </w:r>
      <w:r w:rsidR="00443996" w:rsidRPr="00EC2868">
        <w:rPr>
          <w:sz w:val="20"/>
          <w:szCs w:val="20"/>
        </w:rPr>
        <w:t>:</w:t>
      </w:r>
      <w:r w:rsidR="00F31CA6" w:rsidRPr="00EC2868">
        <w:rPr>
          <w:sz w:val="20"/>
          <w:szCs w:val="20"/>
        </w:rPr>
        <w:t xml:space="preserve"> </w:t>
      </w:r>
      <w:r w:rsidR="000A3D5C" w:rsidRPr="00EC2868">
        <w:rPr>
          <w:sz w:val="20"/>
          <w:szCs w:val="20"/>
        </w:rPr>
        <w:t>5-day</w:t>
      </w:r>
      <w:r w:rsidR="00F31CA6" w:rsidRPr="00EC2868">
        <w:rPr>
          <w:sz w:val="20"/>
          <w:szCs w:val="20"/>
        </w:rPr>
        <w:t xml:space="preserve"> </w:t>
      </w:r>
      <w:r w:rsidR="000C5145">
        <w:rPr>
          <w:sz w:val="20"/>
          <w:szCs w:val="20"/>
        </w:rPr>
        <w:t>view</w:t>
      </w:r>
      <w:r w:rsidR="00F31CA6" w:rsidRPr="00EC2868">
        <w:rPr>
          <w:sz w:val="20"/>
          <w:szCs w:val="20"/>
        </w:rPr>
        <w:t xml:space="preserve"> of adjusted close</w:t>
      </w:r>
      <w:r w:rsidR="000C5145">
        <w:rPr>
          <w:sz w:val="20"/>
          <w:szCs w:val="20"/>
        </w:rPr>
        <w:t xml:space="preserve"> price</w:t>
      </w:r>
      <w:r w:rsidR="00F31CA6" w:rsidRPr="00EC2868">
        <w:rPr>
          <w:sz w:val="20"/>
          <w:szCs w:val="20"/>
        </w:rPr>
        <w:t xml:space="preserve"> from Yahoo! Finance API for selected stocks</w:t>
      </w:r>
    </w:p>
    <w:tbl>
      <w:tblPr>
        <w:tblW w:w="9180" w:type="dxa"/>
        <w:tblInd w:w="-8" w:type="dxa"/>
        <w:tblLook w:val="04A0" w:firstRow="1" w:lastRow="0" w:firstColumn="1" w:lastColumn="0" w:noHBand="0" w:noVBand="1"/>
      </w:tblPr>
      <w:tblGrid>
        <w:gridCol w:w="1020"/>
        <w:gridCol w:w="1020"/>
        <w:gridCol w:w="1020"/>
        <w:gridCol w:w="1020"/>
        <w:gridCol w:w="1020"/>
        <w:gridCol w:w="1020"/>
        <w:gridCol w:w="1020"/>
        <w:gridCol w:w="1020"/>
        <w:gridCol w:w="1020"/>
      </w:tblGrid>
      <w:tr w:rsidR="0025718F" w:rsidRPr="0025718F" w14:paraId="4DFA0FEC" w14:textId="77777777" w:rsidTr="0025718F">
        <w:trPr>
          <w:trHeight w:val="293"/>
        </w:trPr>
        <w:tc>
          <w:tcPr>
            <w:tcW w:w="10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426B0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Date</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30FEED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DPZ</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054B7014"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PZZA</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A174FE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YUM</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B62652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FRSH</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78CF877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MCD</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4C8DF66B"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KHC</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7D333445"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PLAY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0692D4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SPY</w:t>
            </w:r>
          </w:p>
        </w:tc>
      </w:tr>
      <w:tr w:rsidR="0025718F" w:rsidRPr="0025718F" w14:paraId="18830D26"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0D41AD8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1/4/2016</w:t>
            </w:r>
          </w:p>
        </w:tc>
        <w:tc>
          <w:tcPr>
            <w:tcW w:w="1020" w:type="dxa"/>
            <w:tcBorders>
              <w:top w:val="nil"/>
              <w:left w:val="nil"/>
              <w:bottom w:val="single" w:sz="8" w:space="0" w:color="000000"/>
              <w:right w:val="single" w:sz="8" w:space="0" w:color="000000"/>
            </w:tcBorders>
            <w:shd w:val="clear" w:color="auto" w:fill="auto"/>
            <w:vAlign w:val="center"/>
            <w:hideMark/>
          </w:tcPr>
          <w:p w14:paraId="2BA9B60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107.02</w:t>
            </w:r>
          </w:p>
        </w:tc>
        <w:tc>
          <w:tcPr>
            <w:tcW w:w="1020" w:type="dxa"/>
            <w:tcBorders>
              <w:top w:val="nil"/>
              <w:left w:val="nil"/>
              <w:bottom w:val="single" w:sz="8" w:space="0" w:color="000000"/>
              <w:right w:val="single" w:sz="8" w:space="0" w:color="000000"/>
            </w:tcBorders>
            <w:shd w:val="clear" w:color="auto" w:fill="auto"/>
            <w:vAlign w:val="center"/>
            <w:hideMark/>
          </w:tcPr>
          <w:p w14:paraId="28B9230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53.64</w:t>
            </w:r>
          </w:p>
        </w:tc>
        <w:tc>
          <w:tcPr>
            <w:tcW w:w="1020" w:type="dxa"/>
            <w:tcBorders>
              <w:top w:val="nil"/>
              <w:left w:val="nil"/>
              <w:bottom w:val="single" w:sz="8" w:space="0" w:color="000000"/>
              <w:right w:val="single" w:sz="8" w:space="0" w:color="000000"/>
            </w:tcBorders>
            <w:shd w:val="clear" w:color="auto" w:fill="auto"/>
            <w:vAlign w:val="center"/>
            <w:hideMark/>
          </w:tcPr>
          <w:p w14:paraId="6181A06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49.64</w:t>
            </w:r>
          </w:p>
        </w:tc>
        <w:tc>
          <w:tcPr>
            <w:tcW w:w="1020" w:type="dxa"/>
            <w:tcBorders>
              <w:top w:val="nil"/>
              <w:left w:val="nil"/>
              <w:bottom w:val="single" w:sz="8" w:space="0" w:color="000000"/>
              <w:right w:val="single" w:sz="8" w:space="0" w:color="000000"/>
            </w:tcBorders>
            <w:shd w:val="clear" w:color="auto" w:fill="auto"/>
            <w:vAlign w:val="center"/>
            <w:hideMark/>
          </w:tcPr>
          <w:p w14:paraId="44F2851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10.92</w:t>
            </w:r>
          </w:p>
        </w:tc>
        <w:tc>
          <w:tcPr>
            <w:tcW w:w="1020" w:type="dxa"/>
            <w:tcBorders>
              <w:top w:val="nil"/>
              <w:left w:val="nil"/>
              <w:bottom w:val="single" w:sz="8" w:space="0" w:color="000000"/>
              <w:right w:val="single" w:sz="8" w:space="0" w:color="000000"/>
            </w:tcBorders>
            <w:shd w:val="clear" w:color="auto" w:fill="auto"/>
            <w:vAlign w:val="center"/>
            <w:hideMark/>
          </w:tcPr>
          <w:p w14:paraId="26E9047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111.20</w:t>
            </w:r>
          </w:p>
        </w:tc>
        <w:tc>
          <w:tcPr>
            <w:tcW w:w="1020" w:type="dxa"/>
            <w:tcBorders>
              <w:top w:val="nil"/>
              <w:left w:val="nil"/>
              <w:bottom w:val="single" w:sz="8" w:space="0" w:color="000000"/>
              <w:right w:val="single" w:sz="8" w:space="0" w:color="000000"/>
            </w:tcBorders>
            <w:shd w:val="clear" w:color="auto" w:fill="auto"/>
            <w:vAlign w:val="center"/>
            <w:hideMark/>
          </w:tcPr>
          <w:p w14:paraId="545C66A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68.69</w:t>
            </w:r>
          </w:p>
        </w:tc>
        <w:tc>
          <w:tcPr>
            <w:tcW w:w="1020" w:type="dxa"/>
            <w:tcBorders>
              <w:top w:val="nil"/>
              <w:left w:val="nil"/>
              <w:bottom w:val="single" w:sz="8" w:space="0" w:color="000000"/>
              <w:right w:val="single" w:sz="8" w:space="0" w:color="000000"/>
            </w:tcBorders>
            <w:shd w:val="clear" w:color="auto" w:fill="auto"/>
            <w:vAlign w:val="center"/>
            <w:hideMark/>
          </w:tcPr>
          <w:p w14:paraId="77D9E07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41.71</w:t>
            </w:r>
          </w:p>
        </w:tc>
        <w:tc>
          <w:tcPr>
            <w:tcW w:w="1020" w:type="dxa"/>
            <w:tcBorders>
              <w:top w:val="nil"/>
              <w:left w:val="nil"/>
              <w:bottom w:val="single" w:sz="8" w:space="0" w:color="000000"/>
              <w:right w:val="single" w:sz="8" w:space="0" w:color="000000"/>
            </w:tcBorders>
            <w:shd w:val="clear" w:color="auto" w:fill="auto"/>
            <w:vAlign w:val="center"/>
            <w:hideMark/>
          </w:tcPr>
          <w:p w14:paraId="7C8514F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193.04</w:t>
            </w:r>
          </w:p>
        </w:tc>
      </w:tr>
      <w:tr w:rsidR="0025718F" w:rsidRPr="0025718F" w14:paraId="643EB6EC"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769C192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1/5/2016</w:t>
            </w:r>
          </w:p>
        </w:tc>
        <w:tc>
          <w:tcPr>
            <w:tcW w:w="1020" w:type="dxa"/>
            <w:tcBorders>
              <w:top w:val="nil"/>
              <w:left w:val="nil"/>
              <w:bottom w:val="single" w:sz="8" w:space="0" w:color="000000"/>
              <w:right w:val="single" w:sz="8" w:space="0" w:color="000000"/>
            </w:tcBorders>
            <w:shd w:val="clear" w:color="auto" w:fill="auto"/>
            <w:vAlign w:val="center"/>
            <w:hideMark/>
          </w:tcPr>
          <w:p w14:paraId="5D7F0A9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107.70</w:t>
            </w:r>
          </w:p>
        </w:tc>
        <w:tc>
          <w:tcPr>
            <w:tcW w:w="1020" w:type="dxa"/>
            <w:tcBorders>
              <w:top w:val="nil"/>
              <w:left w:val="nil"/>
              <w:bottom w:val="single" w:sz="8" w:space="0" w:color="000000"/>
              <w:right w:val="single" w:sz="8" w:space="0" w:color="000000"/>
            </w:tcBorders>
            <w:shd w:val="clear" w:color="auto" w:fill="auto"/>
            <w:vAlign w:val="center"/>
            <w:hideMark/>
          </w:tcPr>
          <w:p w14:paraId="6DC75AF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53.41</w:t>
            </w:r>
          </w:p>
        </w:tc>
        <w:tc>
          <w:tcPr>
            <w:tcW w:w="1020" w:type="dxa"/>
            <w:tcBorders>
              <w:top w:val="nil"/>
              <w:left w:val="nil"/>
              <w:bottom w:val="single" w:sz="8" w:space="0" w:color="000000"/>
              <w:right w:val="single" w:sz="8" w:space="0" w:color="000000"/>
            </w:tcBorders>
            <w:shd w:val="clear" w:color="auto" w:fill="auto"/>
            <w:vAlign w:val="center"/>
            <w:hideMark/>
          </w:tcPr>
          <w:p w14:paraId="13FA84F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49.51</w:t>
            </w:r>
          </w:p>
        </w:tc>
        <w:tc>
          <w:tcPr>
            <w:tcW w:w="1020" w:type="dxa"/>
            <w:tcBorders>
              <w:top w:val="nil"/>
              <w:left w:val="nil"/>
              <w:bottom w:val="single" w:sz="8" w:space="0" w:color="000000"/>
              <w:right w:val="single" w:sz="8" w:space="0" w:color="000000"/>
            </w:tcBorders>
            <w:shd w:val="clear" w:color="auto" w:fill="auto"/>
            <w:vAlign w:val="center"/>
            <w:hideMark/>
          </w:tcPr>
          <w:p w14:paraId="0CCB9E5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10.77</w:t>
            </w:r>
          </w:p>
        </w:tc>
        <w:tc>
          <w:tcPr>
            <w:tcW w:w="1020" w:type="dxa"/>
            <w:tcBorders>
              <w:top w:val="nil"/>
              <w:left w:val="nil"/>
              <w:bottom w:val="single" w:sz="8" w:space="0" w:color="000000"/>
              <w:right w:val="single" w:sz="8" w:space="0" w:color="000000"/>
            </w:tcBorders>
            <w:shd w:val="clear" w:color="auto" w:fill="auto"/>
            <w:vAlign w:val="center"/>
            <w:hideMark/>
          </w:tcPr>
          <w:p w14:paraId="7A85782B"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112.73</w:t>
            </w:r>
          </w:p>
        </w:tc>
        <w:tc>
          <w:tcPr>
            <w:tcW w:w="1020" w:type="dxa"/>
            <w:tcBorders>
              <w:top w:val="nil"/>
              <w:left w:val="nil"/>
              <w:bottom w:val="single" w:sz="8" w:space="0" w:color="000000"/>
              <w:right w:val="single" w:sz="8" w:space="0" w:color="000000"/>
            </w:tcBorders>
            <w:shd w:val="clear" w:color="auto" w:fill="auto"/>
            <w:vAlign w:val="center"/>
            <w:hideMark/>
          </w:tcPr>
          <w:p w14:paraId="6D5FF54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69.34</w:t>
            </w:r>
          </w:p>
        </w:tc>
        <w:tc>
          <w:tcPr>
            <w:tcW w:w="1020" w:type="dxa"/>
            <w:tcBorders>
              <w:top w:val="nil"/>
              <w:left w:val="nil"/>
              <w:bottom w:val="single" w:sz="8" w:space="0" w:color="000000"/>
              <w:right w:val="single" w:sz="8" w:space="0" w:color="000000"/>
            </w:tcBorders>
            <w:shd w:val="clear" w:color="auto" w:fill="auto"/>
            <w:vAlign w:val="center"/>
            <w:hideMark/>
          </w:tcPr>
          <w:p w14:paraId="155218D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41.89</w:t>
            </w:r>
          </w:p>
        </w:tc>
        <w:tc>
          <w:tcPr>
            <w:tcW w:w="1020" w:type="dxa"/>
            <w:tcBorders>
              <w:top w:val="nil"/>
              <w:left w:val="nil"/>
              <w:bottom w:val="single" w:sz="8" w:space="0" w:color="000000"/>
              <w:right w:val="single" w:sz="8" w:space="0" w:color="000000"/>
            </w:tcBorders>
            <w:shd w:val="clear" w:color="auto" w:fill="auto"/>
            <w:vAlign w:val="center"/>
            <w:hideMark/>
          </w:tcPr>
          <w:p w14:paraId="098F947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193.37</w:t>
            </w:r>
          </w:p>
        </w:tc>
      </w:tr>
      <w:tr w:rsidR="0025718F" w:rsidRPr="0025718F" w14:paraId="60024CF3"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4FC6FF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1/6/2016</w:t>
            </w:r>
          </w:p>
        </w:tc>
        <w:tc>
          <w:tcPr>
            <w:tcW w:w="1020" w:type="dxa"/>
            <w:tcBorders>
              <w:top w:val="nil"/>
              <w:left w:val="nil"/>
              <w:bottom w:val="single" w:sz="8" w:space="0" w:color="000000"/>
              <w:right w:val="single" w:sz="8" w:space="0" w:color="000000"/>
            </w:tcBorders>
            <w:shd w:val="clear" w:color="auto" w:fill="auto"/>
            <w:vAlign w:val="center"/>
            <w:hideMark/>
          </w:tcPr>
          <w:p w14:paraId="735F8C8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107.55</w:t>
            </w:r>
          </w:p>
        </w:tc>
        <w:tc>
          <w:tcPr>
            <w:tcW w:w="1020" w:type="dxa"/>
            <w:tcBorders>
              <w:top w:val="nil"/>
              <w:left w:val="nil"/>
              <w:bottom w:val="single" w:sz="8" w:space="0" w:color="000000"/>
              <w:right w:val="single" w:sz="8" w:space="0" w:color="000000"/>
            </w:tcBorders>
            <w:shd w:val="clear" w:color="auto" w:fill="auto"/>
            <w:vAlign w:val="center"/>
            <w:hideMark/>
          </w:tcPr>
          <w:p w14:paraId="339FDDC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51.36</w:t>
            </w:r>
          </w:p>
        </w:tc>
        <w:tc>
          <w:tcPr>
            <w:tcW w:w="1020" w:type="dxa"/>
            <w:tcBorders>
              <w:top w:val="nil"/>
              <w:left w:val="nil"/>
              <w:bottom w:val="single" w:sz="8" w:space="0" w:color="000000"/>
              <w:right w:val="single" w:sz="8" w:space="0" w:color="000000"/>
            </w:tcBorders>
            <w:shd w:val="clear" w:color="auto" w:fill="auto"/>
            <w:vAlign w:val="center"/>
            <w:hideMark/>
          </w:tcPr>
          <w:p w14:paraId="170D06E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49.16</w:t>
            </w:r>
          </w:p>
        </w:tc>
        <w:tc>
          <w:tcPr>
            <w:tcW w:w="1020" w:type="dxa"/>
            <w:tcBorders>
              <w:top w:val="nil"/>
              <w:left w:val="nil"/>
              <w:bottom w:val="single" w:sz="8" w:space="0" w:color="000000"/>
              <w:right w:val="single" w:sz="8" w:space="0" w:color="000000"/>
            </w:tcBorders>
            <w:shd w:val="clear" w:color="auto" w:fill="auto"/>
            <w:vAlign w:val="center"/>
            <w:hideMark/>
          </w:tcPr>
          <w:p w14:paraId="69CF5277"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11.23</w:t>
            </w:r>
          </w:p>
        </w:tc>
        <w:tc>
          <w:tcPr>
            <w:tcW w:w="1020" w:type="dxa"/>
            <w:tcBorders>
              <w:top w:val="nil"/>
              <w:left w:val="nil"/>
              <w:bottom w:val="single" w:sz="8" w:space="0" w:color="000000"/>
              <w:right w:val="single" w:sz="8" w:space="0" w:color="000000"/>
            </w:tcBorders>
            <w:shd w:val="clear" w:color="auto" w:fill="auto"/>
            <w:vAlign w:val="center"/>
            <w:hideMark/>
          </w:tcPr>
          <w:p w14:paraId="519B8B0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111.97</w:t>
            </w:r>
          </w:p>
        </w:tc>
        <w:tc>
          <w:tcPr>
            <w:tcW w:w="1020" w:type="dxa"/>
            <w:tcBorders>
              <w:top w:val="nil"/>
              <w:left w:val="nil"/>
              <w:bottom w:val="single" w:sz="8" w:space="0" w:color="000000"/>
              <w:right w:val="single" w:sz="8" w:space="0" w:color="000000"/>
            </w:tcBorders>
            <w:shd w:val="clear" w:color="auto" w:fill="auto"/>
            <w:vAlign w:val="center"/>
            <w:hideMark/>
          </w:tcPr>
          <w:p w14:paraId="57325A2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69.48</w:t>
            </w:r>
          </w:p>
        </w:tc>
        <w:tc>
          <w:tcPr>
            <w:tcW w:w="1020" w:type="dxa"/>
            <w:tcBorders>
              <w:top w:val="nil"/>
              <w:left w:val="nil"/>
              <w:bottom w:val="single" w:sz="8" w:space="0" w:color="000000"/>
              <w:right w:val="single" w:sz="8" w:space="0" w:color="000000"/>
            </w:tcBorders>
            <w:shd w:val="clear" w:color="auto" w:fill="auto"/>
            <w:vAlign w:val="center"/>
            <w:hideMark/>
          </w:tcPr>
          <w:p w14:paraId="41BA2BC4"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42.44</w:t>
            </w:r>
          </w:p>
        </w:tc>
        <w:tc>
          <w:tcPr>
            <w:tcW w:w="1020" w:type="dxa"/>
            <w:tcBorders>
              <w:top w:val="nil"/>
              <w:left w:val="nil"/>
              <w:bottom w:val="single" w:sz="8" w:space="0" w:color="000000"/>
              <w:right w:val="single" w:sz="8" w:space="0" w:color="000000"/>
            </w:tcBorders>
            <w:shd w:val="clear" w:color="auto" w:fill="auto"/>
            <w:vAlign w:val="center"/>
            <w:hideMark/>
          </w:tcPr>
          <w:p w14:paraId="1E2DD99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190.93</w:t>
            </w:r>
          </w:p>
        </w:tc>
      </w:tr>
      <w:tr w:rsidR="0025718F" w:rsidRPr="0025718F" w14:paraId="20C269CF"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34EFC37"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lastRenderedPageBreak/>
              <w:t>1/7/2016</w:t>
            </w:r>
          </w:p>
        </w:tc>
        <w:tc>
          <w:tcPr>
            <w:tcW w:w="1020" w:type="dxa"/>
            <w:tcBorders>
              <w:top w:val="nil"/>
              <w:left w:val="nil"/>
              <w:bottom w:val="single" w:sz="8" w:space="0" w:color="000000"/>
              <w:right w:val="single" w:sz="8" w:space="0" w:color="000000"/>
            </w:tcBorders>
            <w:shd w:val="clear" w:color="auto" w:fill="auto"/>
            <w:vAlign w:val="center"/>
            <w:hideMark/>
          </w:tcPr>
          <w:p w14:paraId="182EA01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104.59</w:t>
            </w:r>
          </w:p>
        </w:tc>
        <w:tc>
          <w:tcPr>
            <w:tcW w:w="1020" w:type="dxa"/>
            <w:tcBorders>
              <w:top w:val="nil"/>
              <w:left w:val="nil"/>
              <w:bottom w:val="single" w:sz="8" w:space="0" w:color="000000"/>
              <w:right w:val="single" w:sz="8" w:space="0" w:color="000000"/>
            </w:tcBorders>
            <w:shd w:val="clear" w:color="auto" w:fill="auto"/>
            <w:vAlign w:val="center"/>
            <w:hideMark/>
          </w:tcPr>
          <w:p w14:paraId="4FBFC76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49.55</w:t>
            </w:r>
          </w:p>
        </w:tc>
        <w:tc>
          <w:tcPr>
            <w:tcW w:w="1020" w:type="dxa"/>
            <w:tcBorders>
              <w:top w:val="nil"/>
              <w:left w:val="nil"/>
              <w:bottom w:val="single" w:sz="8" w:space="0" w:color="000000"/>
              <w:right w:val="single" w:sz="8" w:space="0" w:color="000000"/>
            </w:tcBorders>
            <w:shd w:val="clear" w:color="auto" w:fill="auto"/>
            <w:vAlign w:val="center"/>
            <w:hideMark/>
          </w:tcPr>
          <w:p w14:paraId="0B52883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47.48</w:t>
            </w:r>
          </w:p>
        </w:tc>
        <w:tc>
          <w:tcPr>
            <w:tcW w:w="1020" w:type="dxa"/>
            <w:tcBorders>
              <w:top w:val="nil"/>
              <w:left w:val="nil"/>
              <w:bottom w:val="single" w:sz="8" w:space="0" w:color="000000"/>
              <w:right w:val="single" w:sz="8" w:space="0" w:color="000000"/>
            </w:tcBorders>
            <w:shd w:val="clear" w:color="auto" w:fill="auto"/>
            <w:vAlign w:val="center"/>
            <w:hideMark/>
          </w:tcPr>
          <w:p w14:paraId="7840D48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10.71</w:t>
            </w:r>
          </w:p>
        </w:tc>
        <w:tc>
          <w:tcPr>
            <w:tcW w:w="1020" w:type="dxa"/>
            <w:tcBorders>
              <w:top w:val="nil"/>
              <w:left w:val="nil"/>
              <w:bottom w:val="single" w:sz="8" w:space="0" w:color="000000"/>
              <w:right w:val="single" w:sz="8" w:space="0" w:color="000000"/>
            </w:tcBorders>
            <w:shd w:val="clear" w:color="auto" w:fill="auto"/>
            <w:vAlign w:val="center"/>
            <w:hideMark/>
          </w:tcPr>
          <w:p w14:paraId="6A277AB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109.38</w:t>
            </w:r>
          </w:p>
        </w:tc>
        <w:tc>
          <w:tcPr>
            <w:tcW w:w="1020" w:type="dxa"/>
            <w:tcBorders>
              <w:top w:val="nil"/>
              <w:left w:val="nil"/>
              <w:bottom w:val="single" w:sz="8" w:space="0" w:color="000000"/>
              <w:right w:val="single" w:sz="8" w:space="0" w:color="000000"/>
            </w:tcBorders>
            <w:shd w:val="clear" w:color="auto" w:fill="auto"/>
            <w:vAlign w:val="center"/>
            <w:hideMark/>
          </w:tcPr>
          <w:p w14:paraId="079AC52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67.94</w:t>
            </w:r>
          </w:p>
        </w:tc>
        <w:tc>
          <w:tcPr>
            <w:tcW w:w="1020" w:type="dxa"/>
            <w:tcBorders>
              <w:top w:val="nil"/>
              <w:left w:val="nil"/>
              <w:bottom w:val="single" w:sz="8" w:space="0" w:color="000000"/>
              <w:right w:val="single" w:sz="8" w:space="0" w:color="000000"/>
            </w:tcBorders>
            <w:shd w:val="clear" w:color="auto" w:fill="auto"/>
            <w:vAlign w:val="center"/>
            <w:hideMark/>
          </w:tcPr>
          <w:p w14:paraId="578AFFE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41.21</w:t>
            </w:r>
          </w:p>
        </w:tc>
        <w:tc>
          <w:tcPr>
            <w:tcW w:w="1020" w:type="dxa"/>
            <w:tcBorders>
              <w:top w:val="nil"/>
              <w:left w:val="nil"/>
              <w:bottom w:val="single" w:sz="8" w:space="0" w:color="000000"/>
              <w:right w:val="single" w:sz="8" w:space="0" w:color="000000"/>
            </w:tcBorders>
            <w:shd w:val="clear" w:color="auto" w:fill="auto"/>
            <w:vAlign w:val="center"/>
            <w:hideMark/>
          </w:tcPr>
          <w:p w14:paraId="0A880F5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186.35</w:t>
            </w:r>
          </w:p>
        </w:tc>
      </w:tr>
      <w:tr w:rsidR="0025718F" w:rsidRPr="0025718F" w14:paraId="719934FA"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D61E9D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1/8/2016</w:t>
            </w:r>
          </w:p>
        </w:tc>
        <w:tc>
          <w:tcPr>
            <w:tcW w:w="1020" w:type="dxa"/>
            <w:tcBorders>
              <w:top w:val="nil"/>
              <w:left w:val="nil"/>
              <w:bottom w:val="single" w:sz="8" w:space="0" w:color="000000"/>
              <w:right w:val="single" w:sz="8" w:space="0" w:color="000000"/>
            </w:tcBorders>
            <w:shd w:val="clear" w:color="auto" w:fill="auto"/>
            <w:vAlign w:val="center"/>
            <w:hideMark/>
          </w:tcPr>
          <w:p w14:paraId="1053B29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106.76</w:t>
            </w:r>
          </w:p>
        </w:tc>
        <w:tc>
          <w:tcPr>
            <w:tcW w:w="1020" w:type="dxa"/>
            <w:tcBorders>
              <w:top w:val="nil"/>
              <w:left w:val="nil"/>
              <w:bottom w:val="single" w:sz="8" w:space="0" w:color="000000"/>
              <w:right w:val="single" w:sz="8" w:space="0" w:color="000000"/>
            </w:tcBorders>
            <w:shd w:val="clear" w:color="auto" w:fill="auto"/>
            <w:vAlign w:val="center"/>
            <w:hideMark/>
          </w:tcPr>
          <w:p w14:paraId="75F654F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47.50</w:t>
            </w:r>
          </w:p>
        </w:tc>
        <w:tc>
          <w:tcPr>
            <w:tcW w:w="1020" w:type="dxa"/>
            <w:tcBorders>
              <w:top w:val="nil"/>
              <w:left w:val="nil"/>
              <w:bottom w:val="single" w:sz="8" w:space="0" w:color="000000"/>
              <w:right w:val="single" w:sz="8" w:space="0" w:color="000000"/>
            </w:tcBorders>
            <w:shd w:val="clear" w:color="auto" w:fill="auto"/>
            <w:vAlign w:val="center"/>
            <w:hideMark/>
          </w:tcPr>
          <w:p w14:paraId="062778D5"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46.84</w:t>
            </w:r>
          </w:p>
        </w:tc>
        <w:tc>
          <w:tcPr>
            <w:tcW w:w="1020" w:type="dxa"/>
            <w:tcBorders>
              <w:top w:val="nil"/>
              <w:left w:val="nil"/>
              <w:bottom w:val="single" w:sz="8" w:space="0" w:color="000000"/>
              <w:right w:val="single" w:sz="8" w:space="0" w:color="000000"/>
            </w:tcBorders>
            <w:shd w:val="clear" w:color="auto" w:fill="auto"/>
            <w:vAlign w:val="center"/>
            <w:hideMark/>
          </w:tcPr>
          <w:p w14:paraId="33532DD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10.26</w:t>
            </w:r>
          </w:p>
        </w:tc>
        <w:tc>
          <w:tcPr>
            <w:tcW w:w="1020" w:type="dxa"/>
            <w:tcBorders>
              <w:top w:val="nil"/>
              <w:left w:val="nil"/>
              <w:bottom w:val="single" w:sz="8" w:space="0" w:color="000000"/>
              <w:right w:val="single" w:sz="8" w:space="0" w:color="000000"/>
            </w:tcBorders>
            <w:shd w:val="clear" w:color="auto" w:fill="auto"/>
            <w:vAlign w:val="center"/>
            <w:hideMark/>
          </w:tcPr>
          <w:p w14:paraId="191350C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109.21</w:t>
            </w:r>
          </w:p>
        </w:tc>
        <w:tc>
          <w:tcPr>
            <w:tcW w:w="1020" w:type="dxa"/>
            <w:tcBorders>
              <w:top w:val="nil"/>
              <w:left w:val="nil"/>
              <w:bottom w:val="single" w:sz="8" w:space="0" w:color="000000"/>
              <w:right w:val="single" w:sz="8" w:space="0" w:color="000000"/>
            </w:tcBorders>
            <w:shd w:val="clear" w:color="auto" w:fill="auto"/>
            <w:vAlign w:val="center"/>
            <w:hideMark/>
          </w:tcPr>
          <w:p w14:paraId="150DAAF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67.26</w:t>
            </w:r>
          </w:p>
        </w:tc>
        <w:tc>
          <w:tcPr>
            <w:tcW w:w="1020" w:type="dxa"/>
            <w:tcBorders>
              <w:top w:val="nil"/>
              <w:left w:val="nil"/>
              <w:bottom w:val="single" w:sz="8" w:space="0" w:color="000000"/>
              <w:right w:val="single" w:sz="8" w:space="0" w:color="000000"/>
            </w:tcBorders>
            <w:shd w:val="clear" w:color="auto" w:fill="auto"/>
            <w:vAlign w:val="center"/>
            <w:hideMark/>
          </w:tcPr>
          <w:p w14:paraId="4863CD8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39.51</w:t>
            </w:r>
          </w:p>
        </w:tc>
        <w:tc>
          <w:tcPr>
            <w:tcW w:w="1020" w:type="dxa"/>
            <w:tcBorders>
              <w:top w:val="nil"/>
              <w:left w:val="nil"/>
              <w:bottom w:val="single" w:sz="8" w:space="0" w:color="000000"/>
              <w:right w:val="single" w:sz="8" w:space="0" w:color="000000"/>
            </w:tcBorders>
            <w:shd w:val="clear" w:color="auto" w:fill="auto"/>
            <w:vAlign w:val="center"/>
            <w:hideMark/>
          </w:tcPr>
          <w:p w14:paraId="37D1403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184.30</w:t>
            </w:r>
          </w:p>
        </w:tc>
      </w:tr>
    </w:tbl>
    <w:p w14:paraId="5CFCB3CD" w14:textId="658A9D6E" w:rsidR="00025472" w:rsidRDefault="00025472" w:rsidP="006034AD">
      <w:pPr>
        <w:spacing w:line="300" w:lineRule="auto"/>
      </w:pPr>
    </w:p>
    <w:p w14:paraId="65C4AA4F" w14:textId="46766C0F" w:rsidR="00AB494D" w:rsidRDefault="000C5145" w:rsidP="006034AD">
      <w:pPr>
        <w:spacing w:line="300" w:lineRule="auto"/>
      </w:pPr>
      <w:r>
        <w:t xml:space="preserve">We also include the S&amp;P 500 initially to </w:t>
      </w:r>
      <w:r w:rsidR="00B61DAD">
        <w:t xml:space="preserve">provide </w:t>
      </w:r>
      <w:r w:rsidR="005867B0">
        <w:t xml:space="preserve">additional </w:t>
      </w:r>
      <w:r w:rsidR="00B61DAD">
        <w:t>context</w:t>
      </w:r>
      <w:r w:rsidR="005867B0">
        <w:t xml:space="preserve"> for our objective. As seen in Figure 1, all stocks in our fast food portfolio except FRSH (Papa Murphy’s) outpace the market.</w:t>
      </w:r>
      <w:r w:rsidR="00B61DAD">
        <w:t xml:space="preserve"> </w:t>
      </w:r>
      <w:r>
        <w:t>We wish to test previous empirical observations showing intermediate term momentum investing strategies as superior</w:t>
      </w:r>
      <w:r w:rsidR="005867B0">
        <w:t xml:space="preserve"> [1]</w:t>
      </w:r>
      <w:r>
        <w:t xml:space="preserve"> in </w:t>
      </w:r>
      <w:r w:rsidR="00B61DAD">
        <w:t xml:space="preserve">a </w:t>
      </w:r>
      <w:r w:rsidR="006641AE">
        <w:t xml:space="preserve">specific </w:t>
      </w:r>
      <w:r>
        <w:t xml:space="preserve">environment </w:t>
      </w:r>
      <w:r w:rsidR="006641AE">
        <w:t>where our portfolio is growing</w:t>
      </w:r>
      <w:r>
        <w:t>. However, we also wish to maintain industry consistency, therefore our mix is containe</w:t>
      </w:r>
      <w:r w:rsidR="00230FC6">
        <w:t>d to the fast food industry</w:t>
      </w:r>
      <w:r>
        <w:t>.</w:t>
      </w:r>
    </w:p>
    <w:p w14:paraId="62D7CC62" w14:textId="77777777" w:rsidR="007E550A" w:rsidRDefault="007E550A" w:rsidP="006034AD">
      <w:pPr>
        <w:spacing w:line="300" w:lineRule="auto"/>
      </w:pPr>
    </w:p>
    <w:p w14:paraId="6B04DC93" w14:textId="5314DE15" w:rsidR="000C5145" w:rsidRPr="000C5145" w:rsidRDefault="007E550A" w:rsidP="000C5145">
      <w:pPr>
        <w:spacing w:line="300" w:lineRule="auto"/>
        <w:jc w:val="center"/>
        <w:rPr>
          <w:sz w:val="20"/>
          <w:szCs w:val="20"/>
        </w:rPr>
      </w:pPr>
      <w:r>
        <w:rPr>
          <w:sz w:val="20"/>
          <w:szCs w:val="20"/>
        </w:rPr>
        <w:t>Figure 1</w:t>
      </w:r>
      <w:r w:rsidR="000C5145" w:rsidRPr="000C5145">
        <w:rPr>
          <w:sz w:val="20"/>
          <w:szCs w:val="20"/>
        </w:rPr>
        <w:t>: Cu</w:t>
      </w:r>
      <w:r>
        <w:rPr>
          <w:sz w:val="20"/>
          <w:szCs w:val="20"/>
        </w:rPr>
        <w:t xml:space="preserve">mulative Returns of Individual </w:t>
      </w:r>
      <w:r w:rsidR="000C5145" w:rsidRPr="000C5145">
        <w:rPr>
          <w:sz w:val="20"/>
          <w:szCs w:val="20"/>
        </w:rPr>
        <w:t>Stocks in Fast Food Portfolio and S&amp;P 500</w:t>
      </w:r>
    </w:p>
    <w:p w14:paraId="0A116F1F" w14:textId="44C697A1" w:rsidR="000C5145" w:rsidRDefault="000C5145" w:rsidP="00AB494D">
      <w:pPr>
        <w:spacing w:line="300" w:lineRule="auto"/>
        <w:jc w:val="center"/>
      </w:pPr>
      <w:r>
        <w:rPr>
          <w:noProof/>
          <w:lang w:val="en-US"/>
        </w:rPr>
        <w:drawing>
          <wp:inline distT="0" distB="0" distL="0" distR="0" wp14:anchorId="07414415" wp14:editId="5FE1E5ED">
            <wp:extent cx="3898231" cy="2751692"/>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5 at 8.31.04 PM.png"/>
                    <pic:cNvPicPr/>
                  </pic:nvPicPr>
                  <pic:blipFill>
                    <a:blip r:embed="rId8">
                      <a:extLst>
                        <a:ext uri="{28A0092B-C50C-407E-A947-70E740481C1C}">
                          <a14:useLocalDpi xmlns:a14="http://schemas.microsoft.com/office/drawing/2010/main" val="0"/>
                        </a:ext>
                      </a:extLst>
                    </a:blip>
                    <a:stretch>
                      <a:fillRect/>
                    </a:stretch>
                  </pic:blipFill>
                  <pic:spPr>
                    <a:xfrm>
                      <a:off x="0" y="0"/>
                      <a:ext cx="3912060" cy="2761454"/>
                    </a:xfrm>
                    <a:prstGeom prst="rect">
                      <a:avLst/>
                    </a:prstGeom>
                  </pic:spPr>
                </pic:pic>
              </a:graphicData>
            </a:graphic>
          </wp:inline>
        </w:drawing>
      </w:r>
    </w:p>
    <w:p w14:paraId="57BBD2F3" w14:textId="3158D647" w:rsidR="00CE1FB1" w:rsidRDefault="00025472" w:rsidP="006034AD">
      <w:pPr>
        <w:spacing w:line="300" w:lineRule="auto"/>
      </w:pPr>
      <w:r>
        <w:t xml:space="preserve">Following </w:t>
      </w:r>
      <w:r w:rsidR="000C5145">
        <w:t xml:space="preserve">data cleansing by removing days where the market did not report in the Yahoo! </w:t>
      </w:r>
      <w:r w:rsidR="0027416D">
        <w:t xml:space="preserve">data </w:t>
      </w:r>
      <w:r w:rsidR="000C5145">
        <w:t>feed</w:t>
      </w:r>
      <w:r w:rsidR="00934B82">
        <w:t>, we</w:t>
      </w:r>
      <w:r w:rsidR="000C5145">
        <w:t xml:space="preserve"> retrieve</w:t>
      </w:r>
      <w:r w:rsidR="00934B82">
        <w:t xml:space="preserve"> </w:t>
      </w:r>
      <w:r>
        <w:t>a baseline of the mean adjusted close prices of each sto</w:t>
      </w:r>
      <w:r w:rsidR="00171908">
        <w:t xml:space="preserve">ck over the given time period. </w:t>
      </w:r>
      <w:r>
        <w:t>The mean adjusted close prices of each stock are shown below</w:t>
      </w:r>
      <w:r w:rsidR="00EC2868">
        <w:t xml:space="preserve"> in Figure 2</w:t>
      </w:r>
      <w:r>
        <w:t>.</w:t>
      </w:r>
    </w:p>
    <w:p w14:paraId="180FD622" w14:textId="076E3C9E" w:rsidR="00CE1FB1" w:rsidRDefault="00CE1FB1" w:rsidP="00CE1FB1">
      <w:pPr>
        <w:spacing w:line="300" w:lineRule="auto"/>
        <w:jc w:val="center"/>
      </w:pPr>
    </w:p>
    <w:p w14:paraId="2B182203" w14:textId="442537BB" w:rsidR="00CE1FB1" w:rsidRPr="003A2BBC" w:rsidRDefault="007E550A" w:rsidP="00CE1FB1">
      <w:pPr>
        <w:spacing w:line="300" w:lineRule="auto"/>
        <w:jc w:val="center"/>
        <w:rPr>
          <w:sz w:val="20"/>
          <w:szCs w:val="20"/>
        </w:rPr>
      </w:pPr>
      <w:r>
        <w:rPr>
          <w:sz w:val="20"/>
          <w:szCs w:val="20"/>
        </w:rPr>
        <w:t>Table 2</w:t>
      </w:r>
      <w:r w:rsidR="003A2BBC" w:rsidRPr="003A2BBC">
        <w:rPr>
          <w:sz w:val="20"/>
          <w:szCs w:val="20"/>
        </w:rPr>
        <w:t>: M</w:t>
      </w:r>
      <w:r w:rsidR="00CE1FB1" w:rsidRPr="003A2BBC">
        <w:rPr>
          <w:sz w:val="20"/>
          <w:szCs w:val="20"/>
        </w:rPr>
        <w:t>ean adjusted close prices of portfolio for selected time period</w:t>
      </w:r>
    </w:p>
    <w:tbl>
      <w:tblPr>
        <w:tblW w:w="9180" w:type="dxa"/>
        <w:tblInd w:w="-10" w:type="dxa"/>
        <w:tblLook w:val="04A0" w:firstRow="1" w:lastRow="0" w:firstColumn="1" w:lastColumn="0" w:noHBand="0" w:noVBand="1"/>
      </w:tblPr>
      <w:tblGrid>
        <w:gridCol w:w="1020"/>
        <w:gridCol w:w="1020"/>
        <w:gridCol w:w="1020"/>
        <w:gridCol w:w="1020"/>
        <w:gridCol w:w="1020"/>
        <w:gridCol w:w="1020"/>
        <w:gridCol w:w="1020"/>
        <w:gridCol w:w="1020"/>
        <w:gridCol w:w="1020"/>
      </w:tblGrid>
      <w:tr w:rsidR="00CE1FB1" w:rsidRPr="00CE1FB1" w14:paraId="117ABAC6" w14:textId="77777777" w:rsidTr="00CE1FB1">
        <w:trPr>
          <w:trHeight w:val="293"/>
        </w:trPr>
        <w:tc>
          <w:tcPr>
            <w:tcW w:w="10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5A45EA" w14:textId="793EFE2F"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1238F94D"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DPZ</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EC0C9E7"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PZZA</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50E6EF9"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YUM</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05C407F3"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FRSH</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4C719F50"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MCD</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DF99615"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KHC</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AFF6B30"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PLAY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3BFD5D3"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SPY</w:t>
            </w:r>
          </w:p>
        </w:tc>
      </w:tr>
      <w:tr w:rsidR="00CE1FB1" w:rsidRPr="00CE1FB1" w14:paraId="6D9960ED" w14:textId="77777777" w:rsidTr="00CE1FB1">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2C5BFD78"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mean</w:t>
            </w:r>
          </w:p>
        </w:tc>
        <w:tc>
          <w:tcPr>
            <w:tcW w:w="1020" w:type="dxa"/>
            <w:tcBorders>
              <w:top w:val="nil"/>
              <w:left w:val="nil"/>
              <w:bottom w:val="single" w:sz="8" w:space="0" w:color="000000"/>
              <w:right w:val="single" w:sz="8" w:space="0" w:color="000000"/>
            </w:tcBorders>
            <w:shd w:val="clear" w:color="auto" w:fill="auto"/>
            <w:vAlign w:val="center"/>
            <w:hideMark/>
          </w:tcPr>
          <w:p w14:paraId="6017BFA1"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150.08</w:t>
            </w:r>
          </w:p>
        </w:tc>
        <w:tc>
          <w:tcPr>
            <w:tcW w:w="1020" w:type="dxa"/>
            <w:tcBorders>
              <w:top w:val="nil"/>
              <w:left w:val="nil"/>
              <w:bottom w:val="single" w:sz="8" w:space="0" w:color="000000"/>
              <w:right w:val="single" w:sz="8" w:space="0" w:color="000000"/>
            </w:tcBorders>
            <w:shd w:val="clear" w:color="auto" w:fill="auto"/>
            <w:vAlign w:val="center"/>
            <w:hideMark/>
          </w:tcPr>
          <w:p w14:paraId="0A1F77EE"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70.68</w:t>
            </w:r>
          </w:p>
        </w:tc>
        <w:tc>
          <w:tcPr>
            <w:tcW w:w="1020" w:type="dxa"/>
            <w:tcBorders>
              <w:top w:val="nil"/>
              <w:left w:val="nil"/>
              <w:bottom w:val="single" w:sz="8" w:space="0" w:color="000000"/>
              <w:right w:val="single" w:sz="8" w:space="0" w:color="000000"/>
            </w:tcBorders>
            <w:shd w:val="clear" w:color="auto" w:fill="auto"/>
            <w:vAlign w:val="center"/>
            <w:hideMark/>
          </w:tcPr>
          <w:p w14:paraId="7448A346"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60.12</w:t>
            </w:r>
          </w:p>
        </w:tc>
        <w:tc>
          <w:tcPr>
            <w:tcW w:w="1020" w:type="dxa"/>
            <w:tcBorders>
              <w:top w:val="nil"/>
              <w:left w:val="nil"/>
              <w:bottom w:val="single" w:sz="8" w:space="0" w:color="000000"/>
              <w:right w:val="single" w:sz="8" w:space="0" w:color="000000"/>
            </w:tcBorders>
            <w:shd w:val="clear" w:color="auto" w:fill="auto"/>
            <w:vAlign w:val="center"/>
            <w:hideMark/>
          </w:tcPr>
          <w:p w14:paraId="21ACAF0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6.82</w:t>
            </w:r>
          </w:p>
        </w:tc>
        <w:tc>
          <w:tcPr>
            <w:tcW w:w="1020" w:type="dxa"/>
            <w:tcBorders>
              <w:top w:val="nil"/>
              <w:left w:val="nil"/>
              <w:bottom w:val="single" w:sz="8" w:space="0" w:color="000000"/>
              <w:right w:val="single" w:sz="8" w:space="0" w:color="000000"/>
            </w:tcBorders>
            <w:shd w:val="clear" w:color="auto" w:fill="auto"/>
            <w:vAlign w:val="center"/>
            <w:hideMark/>
          </w:tcPr>
          <w:p w14:paraId="78C2E638"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119.31</w:t>
            </w:r>
          </w:p>
        </w:tc>
        <w:tc>
          <w:tcPr>
            <w:tcW w:w="1020" w:type="dxa"/>
            <w:tcBorders>
              <w:top w:val="nil"/>
              <w:left w:val="nil"/>
              <w:bottom w:val="single" w:sz="8" w:space="0" w:color="000000"/>
              <w:right w:val="single" w:sz="8" w:space="0" w:color="000000"/>
            </w:tcBorders>
            <w:shd w:val="clear" w:color="auto" w:fill="auto"/>
            <w:vAlign w:val="center"/>
            <w:hideMark/>
          </w:tcPr>
          <w:p w14:paraId="6806F44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82.02</w:t>
            </w:r>
          </w:p>
        </w:tc>
        <w:tc>
          <w:tcPr>
            <w:tcW w:w="1020" w:type="dxa"/>
            <w:tcBorders>
              <w:top w:val="nil"/>
              <w:left w:val="nil"/>
              <w:bottom w:val="single" w:sz="8" w:space="0" w:color="000000"/>
              <w:right w:val="single" w:sz="8" w:space="0" w:color="000000"/>
            </w:tcBorders>
            <w:shd w:val="clear" w:color="auto" w:fill="auto"/>
            <w:vAlign w:val="center"/>
            <w:hideMark/>
          </w:tcPr>
          <w:p w14:paraId="6DD5D3B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47.44</w:t>
            </w:r>
          </w:p>
        </w:tc>
        <w:tc>
          <w:tcPr>
            <w:tcW w:w="1020" w:type="dxa"/>
            <w:tcBorders>
              <w:top w:val="nil"/>
              <w:left w:val="nil"/>
              <w:bottom w:val="single" w:sz="8" w:space="0" w:color="000000"/>
              <w:right w:val="single" w:sz="8" w:space="0" w:color="000000"/>
            </w:tcBorders>
            <w:shd w:val="clear" w:color="auto" w:fill="auto"/>
            <w:vAlign w:val="center"/>
            <w:hideMark/>
          </w:tcPr>
          <w:p w14:paraId="3F279C06"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211.10</w:t>
            </w:r>
          </w:p>
        </w:tc>
      </w:tr>
    </w:tbl>
    <w:p w14:paraId="7B15B9EF" w14:textId="0B8AFEFD" w:rsidR="00025472" w:rsidRDefault="00025472" w:rsidP="006034AD">
      <w:pPr>
        <w:spacing w:line="300" w:lineRule="auto"/>
      </w:pPr>
    </w:p>
    <w:p w14:paraId="73EEF268" w14:textId="059A2F3E" w:rsidR="0027416D" w:rsidRDefault="0027416D" w:rsidP="006034AD">
      <w:pPr>
        <w:spacing w:line="300" w:lineRule="auto"/>
      </w:pPr>
      <w:r>
        <w:t>To establish a momentum strategy, we must calculate two specific tabular outputs: momentum weights and holding period returns. W</w:t>
      </w:r>
      <w:r w:rsidR="00740510">
        <w:t>e calculate</w:t>
      </w:r>
      <w:r w:rsidR="00025472">
        <w:t xml:space="preserve"> the momentum for each stock in the portfolio </w:t>
      </w:r>
      <w:r w:rsidR="007E550A">
        <w:t xml:space="preserve">by calculating the </w:t>
      </w:r>
      <w:r w:rsidR="00CE1FB1">
        <w:t>percentage change over the frequency of business days</w:t>
      </w:r>
      <w:r w:rsidR="00AB494D">
        <w:t xml:space="preserve"> defined by the lookback period</w:t>
      </w:r>
      <w:r w:rsidR="00C2149E">
        <w:t>.</w:t>
      </w:r>
      <w:r w:rsidR="00171908">
        <w:t xml:space="preserve"> This lookback period is established at the beginning of the dataset.</w:t>
      </w:r>
      <w:r w:rsidR="00930D4D">
        <w:t xml:space="preserve"> For instance, if we use a ten-day</w:t>
      </w:r>
      <w:r w:rsidR="00171908">
        <w:t xml:space="preserve"> lookback period</w:t>
      </w:r>
      <w:r w:rsidR="00930D4D">
        <w:t xml:space="preserve"> and a timeframe beginning on January 1, 2016</w:t>
      </w:r>
      <w:r w:rsidR="00171908">
        <w:t xml:space="preserve">, January </w:t>
      </w:r>
      <w:r w:rsidR="00930D4D">
        <w:t>19</w:t>
      </w:r>
      <w:r w:rsidR="00171908" w:rsidRPr="00171908">
        <w:rPr>
          <w:vertAlign w:val="superscript"/>
        </w:rPr>
        <w:t>th</w:t>
      </w:r>
      <w:r w:rsidR="00171908">
        <w:t xml:space="preserve"> would be the first valid </w:t>
      </w:r>
      <w:r>
        <w:t xml:space="preserve">business </w:t>
      </w:r>
      <w:r w:rsidR="00171908">
        <w:t xml:space="preserve">date in which we could calculate momentum or </w:t>
      </w:r>
      <w:r w:rsidR="00171908">
        <w:lastRenderedPageBreak/>
        <w:t xml:space="preserve">percentage change. </w:t>
      </w:r>
      <w:r w:rsidR="00C2149E">
        <w:t xml:space="preserve"> </w:t>
      </w:r>
      <w:r w:rsidR="00C02421">
        <w:t>These percentages are ranked in ascending order</w:t>
      </w:r>
      <w:r w:rsidR="00C2149E">
        <w:t>, demeaned and then</w:t>
      </w:r>
      <w:r w:rsidR="00C02421">
        <w:t xml:space="preserve"> standardized</w:t>
      </w:r>
      <w:r w:rsidR="00CE1FB1">
        <w:t xml:space="preserve"> to </w:t>
      </w:r>
      <w:r w:rsidR="00C02421">
        <w:t xml:space="preserve">obtain </w:t>
      </w:r>
      <w:r>
        <w:t xml:space="preserve">a tabular output of </w:t>
      </w:r>
      <w:r w:rsidR="00C02421">
        <w:t>portfolio weights</w:t>
      </w:r>
      <w:r w:rsidR="00171908">
        <w:t xml:space="preserve"> for each relevant </w:t>
      </w:r>
      <w:r w:rsidR="007E550A">
        <w:t xml:space="preserve">business </w:t>
      </w:r>
      <w:r w:rsidR="00930D4D">
        <w:t>day based on a</w:t>
      </w:r>
      <w:r w:rsidR="00171908">
        <w:t xml:space="preserve"> given lookback period</w:t>
      </w:r>
      <w:r w:rsidR="00C02421">
        <w:t xml:space="preserve">. </w:t>
      </w:r>
      <w:r w:rsidR="00BF30D5">
        <w:t>These weights follow momentum investing guidelines: stocks with the greatest momentum in the portf</w:t>
      </w:r>
      <w:r w:rsidR="00171908">
        <w:t>olio are weighted the heaviest.</w:t>
      </w:r>
    </w:p>
    <w:p w14:paraId="2AACDB84" w14:textId="77777777" w:rsidR="00805917" w:rsidRDefault="00805917" w:rsidP="006034AD">
      <w:pPr>
        <w:spacing w:line="300" w:lineRule="auto"/>
      </w:pPr>
    </w:p>
    <w:p w14:paraId="58E29709" w14:textId="2CB7EA61" w:rsidR="007E550A" w:rsidRDefault="00E20E21" w:rsidP="006034AD">
      <w:pPr>
        <w:spacing w:line="300" w:lineRule="auto"/>
      </w:pPr>
      <w:r>
        <w:t xml:space="preserve">For each lookback period, an accompanying </w:t>
      </w:r>
      <w:r w:rsidR="00805917">
        <w:t>hold</w:t>
      </w:r>
      <w:r w:rsidR="007E550A">
        <w:t xml:space="preserve">ing period is also defined and cumulative </w:t>
      </w:r>
      <w:r w:rsidR="00805917">
        <w:t xml:space="preserve">returns are calculated for </w:t>
      </w:r>
      <w:r w:rsidR="00E55EA5">
        <w:t xml:space="preserve">each stock in </w:t>
      </w:r>
      <w:r w:rsidR="00805917">
        <w:t>the portfoli</w:t>
      </w:r>
      <w:r w:rsidR="00E77E27">
        <w:t>o based on this</w:t>
      </w:r>
      <w:r w:rsidR="00E55EA5">
        <w:t xml:space="preserve"> holding period:</w:t>
      </w:r>
    </w:p>
    <w:p w14:paraId="07C91B3A" w14:textId="77777777" w:rsidR="007E550A" w:rsidRDefault="007E550A" w:rsidP="006034AD">
      <w:pPr>
        <w:spacing w:line="300" w:lineRule="auto"/>
      </w:pPr>
    </w:p>
    <w:p w14:paraId="49262336" w14:textId="68ABD280" w:rsidR="007E550A" w:rsidRPr="007E550A" w:rsidRDefault="007E550A" w:rsidP="007E550A">
      <w:pPr>
        <w:spacing w:line="300" w:lineRule="auto"/>
        <w:jc w:val="center"/>
        <w:rPr>
          <w:sz w:val="20"/>
          <w:szCs w:val="20"/>
        </w:rPr>
      </w:pPr>
      <w:r w:rsidRPr="007E550A">
        <w:rPr>
          <w:sz w:val="20"/>
          <w:szCs w:val="20"/>
        </w:rPr>
        <w:t>Equation 3: Cumulative Returns</w:t>
      </w:r>
      <w:r w:rsidR="00352257">
        <w:rPr>
          <w:sz w:val="20"/>
          <w:szCs w:val="20"/>
        </w:rPr>
        <w:t xml:space="preserve"> for Each Holding Period</w:t>
      </w:r>
    </w:p>
    <w:p w14:paraId="22A76B27" w14:textId="37435852" w:rsidR="00805917" w:rsidRDefault="00A30429" w:rsidP="00805917">
      <m:oMathPara>
        <m:oMath>
          <m:sSub>
            <m:sSubPr>
              <m:ctrlPr>
                <w:rPr>
                  <w:rFonts w:ascii="Cambria Math" w:hAnsi="Cambria Math"/>
                  <w:i/>
                </w:rPr>
              </m:ctrlPr>
            </m:sSubPr>
            <m:e>
              <m:r>
                <w:rPr>
                  <w:rFonts w:ascii="Cambria Math" w:hAnsi="Cambria Math"/>
                </w:rPr>
                <m:t>return</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oMath>
      </m:oMathPara>
    </w:p>
    <w:p w14:paraId="26D05DB3" w14:textId="59995121" w:rsidR="00805917" w:rsidRPr="007E550A" w:rsidRDefault="00805917" w:rsidP="007E550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FA2A3E4" w14:textId="2C6A0F49" w:rsidR="00171908" w:rsidRDefault="00171908" w:rsidP="006034AD">
      <w:pPr>
        <w:spacing w:line="300" w:lineRule="auto"/>
      </w:pPr>
      <w:r>
        <w:t xml:space="preserve">Where the </w:t>
      </w:r>
      <w:r w:rsidR="007E550A">
        <w:t>cumulative</w:t>
      </w:r>
      <w:r>
        <w:t xml:space="preserve"> return for a given stock</w:t>
      </w:r>
      <w:r w:rsidR="00E77E27">
        <w:t xml:space="preserve"> in the portfolio</w:t>
      </w:r>
      <w:r>
        <w:t xml:space="preserve"> is </w:t>
      </w:r>
      <m:oMath>
        <m:sSub>
          <m:sSubPr>
            <m:ctrlPr>
              <w:rPr>
                <w:rFonts w:ascii="Cambria Math" w:hAnsi="Cambria Math"/>
                <w:i/>
              </w:rPr>
            </m:ctrlPr>
          </m:sSubPr>
          <m:e>
            <m:r>
              <w:rPr>
                <w:rFonts w:ascii="Cambria Math" w:hAnsi="Cambria Math"/>
              </w:rPr>
              <m:t>return</m:t>
            </m:r>
          </m:e>
          <m:sub>
            <m:r>
              <w:rPr>
                <w:rFonts w:ascii="Cambria Math" w:hAnsi="Cambria Math"/>
              </w:rPr>
              <m:t>k</m:t>
            </m:r>
          </m:sub>
        </m:sSub>
      </m:oMath>
      <w:r>
        <w:t xml:space="preserve">. These returns are aggregated into holding period length </w:t>
      </w:r>
      <w:r w:rsidR="00FE35B7">
        <w:t>bins, timestamped left-</w:t>
      </w:r>
      <w:r w:rsidR="00930D4D">
        <w:t>inclusive</w:t>
      </w:r>
      <w:r w:rsidR="001D3360">
        <w:t>. For instance, if we</w:t>
      </w:r>
      <w:r>
        <w:t xml:space="preserve"> held </w:t>
      </w:r>
      <w:r w:rsidR="00193D58">
        <w:t xml:space="preserve">a </w:t>
      </w:r>
      <w:r>
        <w:t>portfolio</w:t>
      </w:r>
      <w:r w:rsidR="001D3360">
        <w:t xml:space="preserve"> position</w:t>
      </w:r>
      <w:r w:rsidR="00193D58">
        <w:t xml:space="preserve"> (mix of stocks)</w:t>
      </w:r>
      <w:r w:rsidR="007E550A">
        <w:t xml:space="preserve"> for ten</w:t>
      </w:r>
      <w:r w:rsidR="00821F26">
        <w:t xml:space="preserve"> business</w:t>
      </w:r>
      <w:r>
        <w:t xml:space="preserve"> d</w:t>
      </w:r>
      <w:r w:rsidR="001D3360">
        <w:t>ays, portfolio ret</w:t>
      </w:r>
      <w:r w:rsidR="007E550A">
        <w:t>urns would be aggregated in ten business</w:t>
      </w:r>
      <w:r w:rsidR="001D3360">
        <w:t xml:space="preserve"> day increments</w:t>
      </w:r>
      <w:r>
        <w:t xml:space="preserve"> </w:t>
      </w:r>
      <w:r w:rsidR="001D3360">
        <w:t xml:space="preserve">with </w:t>
      </w:r>
      <w:r w:rsidR="00E77E27">
        <w:t>cumulative</w:t>
      </w:r>
      <w:r w:rsidR="001D3360">
        <w:t xml:space="preserve"> returns for each stock </w:t>
      </w:r>
      <w:r w:rsidR="00AC29BE">
        <w:t>represented as in Table 2.</w:t>
      </w:r>
    </w:p>
    <w:p w14:paraId="2C2AEA8B" w14:textId="72764FDF" w:rsidR="00821F26" w:rsidRDefault="00821F26" w:rsidP="006034AD">
      <w:pPr>
        <w:spacing w:line="300" w:lineRule="auto"/>
      </w:pPr>
    </w:p>
    <w:p w14:paraId="4027A210" w14:textId="77777777" w:rsidR="007E550A" w:rsidRPr="00821F26" w:rsidRDefault="007E550A" w:rsidP="007E550A">
      <w:pPr>
        <w:spacing w:line="300" w:lineRule="auto"/>
        <w:jc w:val="center"/>
        <w:rPr>
          <w:sz w:val="20"/>
          <w:szCs w:val="20"/>
        </w:rPr>
      </w:pPr>
      <w:r>
        <w:rPr>
          <w:sz w:val="20"/>
          <w:szCs w:val="20"/>
        </w:rPr>
        <w:t>Table 3</w:t>
      </w:r>
      <w:r w:rsidRPr="00821F26">
        <w:rPr>
          <w:sz w:val="20"/>
          <w:szCs w:val="20"/>
        </w:rPr>
        <w:t>: Cumulative Returns for Holding Period</w:t>
      </w:r>
    </w:p>
    <w:tbl>
      <w:tblPr>
        <w:tblW w:w="9391" w:type="dxa"/>
        <w:tblInd w:w="-8" w:type="dxa"/>
        <w:tblLook w:val="04A0" w:firstRow="1" w:lastRow="0" w:firstColumn="1" w:lastColumn="0" w:noHBand="0" w:noVBand="1"/>
      </w:tblPr>
      <w:tblGrid>
        <w:gridCol w:w="1440"/>
        <w:gridCol w:w="962"/>
        <w:gridCol w:w="1164"/>
        <w:gridCol w:w="1163"/>
        <w:gridCol w:w="1165"/>
        <w:gridCol w:w="1169"/>
        <w:gridCol w:w="1163"/>
        <w:gridCol w:w="1165"/>
      </w:tblGrid>
      <w:tr w:rsidR="007E550A" w:rsidRPr="0025718F" w14:paraId="5E9A5FBF" w14:textId="77777777" w:rsidTr="00A30429">
        <w:trPr>
          <w:trHeight w:val="301"/>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8126F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Date</w:t>
            </w:r>
          </w:p>
        </w:tc>
        <w:tc>
          <w:tcPr>
            <w:tcW w:w="962" w:type="dxa"/>
            <w:tcBorders>
              <w:top w:val="single" w:sz="8" w:space="0" w:color="000000"/>
              <w:left w:val="nil"/>
              <w:bottom w:val="single" w:sz="8" w:space="0" w:color="000000"/>
              <w:right w:val="single" w:sz="8" w:space="0" w:color="000000"/>
            </w:tcBorders>
            <w:shd w:val="clear" w:color="auto" w:fill="auto"/>
            <w:vAlign w:val="center"/>
            <w:hideMark/>
          </w:tcPr>
          <w:p w14:paraId="34C1AD5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DPZ</w:t>
            </w:r>
          </w:p>
        </w:tc>
        <w:tc>
          <w:tcPr>
            <w:tcW w:w="1164" w:type="dxa"/>
            <w:tcBorders>
              <w:top w:val="single" w:sz="8" w:space="0" w:color="000000"/>
              <w:left w:val="nil"/>
              <w:bottom w:val="single" w:sz="8" w:space="0" w:color="000000"/>
              <w:right w:val="single" w:sz="8" w:space="0" w:color="000000"/>
            </w:tcBorders>
            <w:shd w:val="clear" w:color="auto" w:fill="auto"/>
            <w:vAlign w:val="center"/>
            <w:hideMark/>
          </w:tcPr>
          <w:p w14:paraId="052314D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PZZA</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2DE2F46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YUM</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76C65EF7"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FRSH</w:t>
            </w:r>
          </w:p>
        </w:tc>
        <w:tc>
          <w:tcPr>
            <w:tcW w:w="1169" w:type="dxa"/>
            <w:tcBorders>
              <w:top w:val="single" w:sz="8" w:space="0" w:color="000000"/>
              <w:left w:val="nil"/>
              <w:bottom w:val="single" w:sz="8" w:space="0" w:color="000000"/>
              <w:right w:val="single" w:sz="8" w:space="0" w:color="000000"/>
            </w:tcBorders>
            <w:shd w:val="clear" w:color="auto" w:fill="auto"/>
            <w:vAlign w:val="center"/>
            <w:hideMark/>
          </w:tcPr>
          <w:p w14:paraId="3336243D"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MCD</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3F19116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KHC</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3FBD5CB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PLAY</w:t>
            </w:r>
          </w:p>
        </w:tc>
      </w:tr>
      <w:tr w:rsidR="007E550A" w:rsidRPr="0025718F" w14:paraId="74AA4CB3"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35813F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2016-01-04</w:t>
            </w:r>
          </w:p>
        </w:tc>
        <w:tc>
          <w:tcPr>
            <w:tcW w:w="962" w:type="dxa"/>
            <w:tcBorders>
              <w:top w:val="nil"/>
              <w:left w:val="nil"/>
              <w:bottom w:val="single" w:sz="8" w:space="0" w:color="000000"/>
              <w:right w:val="single" w:sz="8" w:space="0" w:color="000000"/>
            </w:tcBorders>
            <w:shd w:val="clear" w:color="auto" w:fill="auto"/>
            <w:vAlign w:val="center"/>
            <w:hideMark/>
          </w:tcPr>
          <w:p w14:paraId="450345B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-0.0464</w:t>
            </w:r>
          </w:p>
        </w:tc>
        <w:tc>
          <w:tcPr>
            <w:tcW w:w="1164" w:type="dxa"/>
            <w:tcBorders>
              <w:top w:val="nil"/>
              <w:left w:val="nil"/>
              <w:bottom w:val="single" w:sz="8" w:space="0" w:color="000000"/>
              <w:right w:val="single" w:sz="8" w:space="0" w:color="000000"/>
            </w:tcBorders>
            <w:shd w:val="clear" w:color="auto" w:fill="auto"/>
            <w:vAlign w:val="center"/>
            <w:hideMark/>
          </w:tcPr>
          <w:p w14:paraId="299787C1"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-0.1229</w:t>
            </w:r>
          </w:p>
        </w:tc>
        <w:tc>
          <w:tcPr>
            <w:tcW w:w="1163" w:type="dxa"/>
            <w:tcBorders>
              <w:top w:val="nil"/>
              <w:left w:val="nil"/>
              <w:bottom w:val="single" w:sz="8" w:space="0" w:color="000000"/>
              <w:right w:val="single" w:sz="8" w:space="0" w:color="000000"/>
            </w:tcBorders>
            <w:shd w:val="clear" w:color="auto" w:fill="auto"/>
            <w:vAlign w:val="center"/>
            <w:hideMark/>
          </w:tcPr>
          <w:p w14:paraId="353FC90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-0.0647</w:t>
            </w:r>
          </w:p>
        </w:tc>
        <w:tc>
          <w:tcPr>
            <w:tcW w:w="1165" w:type="dxa"/>
            <w:tcBorders>
              <w:top w:val="nil"/>
              <w:left w:val="nil"/>
              <w:bottom w:val="single" w:sz="8" w:space="0" w:color="000000"/>
              <w:right w:val="single" w:sz="8" w:space="0" w:color="000000"/>
            </w:tcBorders>
            <w:shd w:val="clear" w:color="auto" w:fill="auto"/>
            <w:vAlign w:val="center"/>
            <w:hideMark/>
          </w:tcPr>
          <w:p w14:paraId="6B0F400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-0.0173</w:t>
            </w:r>
          </w:p>
        </w:tc>
        <w:tc>
          <w:tcPr>
            <w:tcW w:w="1169" w:type="dxa"/>
            <w:tcBorders>
              <w:top w:val="nil"/>
              <w:left w:val="nil"/>
              <w:bottom w:val="single" w:sz="8" w:space="0" w:color="000000"/>
              <w:right w:val="single" w:sz="8" w:space="0" w:color="000000"/>
            </w:tcBorders>
            <w:shd w:val="clear" w:color="auto" w:fill="auto"/>
            <w:vAlign w:val="center"/>
            <w:hideMark/>
          </w:tcPr>
          <w:p w14:paraId="4317E80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-0.0204</w:t>
            </w:r>
          </w:p>
        </w:tc>
        <w:tc>
          <w:tcPr>
            <w:tcW w:w="1163" w:type="dxa"/>
            <w:tcBorders>
              <w:top w:val="nil"/>
              <w:left w:val="nil"/>
              <w:bottom w:val="single" w:sz="8" w:space="0" w:color="000000"/>
              <w:right w:val="single" w:sz="8" w:space="0" w:color="000000"/>
            </w:tcBorders>
            <w:shd w:val="clear" w:color="auto" w:fill="auto"/>
            <w:vAlign w:val="center"/>
            <w:hideMark/>
          </w:tcPr>
          <w:p w14:paraId="072DBAF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-0.0481</w:t>
            </w:r>
          </w:p>
        </w:tc>
        <w:tc>
          <w:tcPr>
            <w:tcW w:w="1165" w:type="dxa"/>
            <w:tcBorders>
              <w:top w:val="nil"/>
              <w:left w:val="nil"/>
              <w:bottom w:val="single" w:sz="8" w:space="0" w:color="000000"/>
              <w:right w:val="single" w:sz="8" w:space="0" w:color="000000"/>
            </w:tcBorders>
            <w:shd w:val="clear" w:color="auto" w:fill="auto"/>
            <w:vAlign w:val="center"/>
            <w:hideMark/>
          </w:tcPr>
          <w:p w14:paraId="0069C4A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-0.1603</w:t>
            </w:r>
          </w:p>
        </w:tc>
      </w:tr>
      <w:tr w:rsidR="007E550A" w:rsidRPr="0025718F" w14:paraId="302045F3"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444D6FE8"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2016-01-18</w:t>
            </w:r>
          </w:p>
        </w:tc>
        <w:tc>
          <w:tcPr>
            <w:tcW w:w="962" w:type="dxa"/>
            <w:tcBorders>
              <w:top w:val="nil"/>
              <w:left w:val="nil"/>
              <w:bottom w:val="single" w:sz="8" w:space="0" w:color="000000"/>
              <w:right w:val="single" w:sz="8" w:space="0" w:color="000000"/>
            </w:tcBorders>
            <w:shd w:val="clear" w:color="auto" w:fill="auto"/>
            <w:vAlign w:val="center"/>
            <w:hideMark/>
          </w:tcPr>
          <w:p w14:paraId="69CAE95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0.0937</w:t>
            </w:r>
          </w:p>
        </w:tc>
        <w:tc>
          <w:tcPr>
            <w:tcW w:w="1164" w:type="dxa"/>
            <w:tcBorders>
              <w:top w:val="nil"/>
              <w:left w:val="nil"/>
              <w:bottom w:val="single" w:sz="8" w:space="0" w:color="000000"/>
              <w:right w:val="single" w:sz="8" w:space="0" w:color="000000"/>
            </w:tcBorders>
            <w:shd w:val="clear" w:color="auto" w:fill="auto"/>
            <w:vAlign w:val="center"/>
            <w:hideMark/>
          </w:tcPr>
          <w:p w14:paraId="2866116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-0.0085</w:t>
            </w:r>
          </w:p>
        </w:tc>
        <w:tc>
          <w:tcPr>
            <w:tcW w:w="1163" w:type="dxa"/>
            <w:tcBorders>
              <w:top w:val="nil"/>
              <w:left w:val="nil"/>
              <w:bottom w:val="single" w:sz="8" w:space="0" w:color="000000"/>
              <w:right w:val="single" w:sz="8" w:space="0" w:color="000000"/>
            </w:tcBorders>
            <w:shd w:val="clear" w:color="auto" w:fill="auto"/>
            <w:vAlign w:val="center"/>
            <w:hideMark/>
          </w:tcPr>
          <w:p w14:paraId="6EB5BC9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0.0787</w:t>
            </w:r>
          </w:p>
        </w:tc>
        <w:tc>
          <w:tcPr>
            <w:tcW w:w="1165" w:type="dxa"/>
            <w:tcBorders>
              <w:top w:val="nil"/>
              <w:left w:val="nil"/>
              <w:bottom w:val="single" w:sz="8" w:space="0" w:color="000000"/>
              <w:right w:val="single" w:sz="8" w:space="0" w:color="000000"/>
            </w:tcBorders>
            <w:shd w:val="clear" w:color="auto" w:fill="auto"/>
            <w:vAlign w:val="center"/>
            <w:hideMark/>
          </w:tcPr>
          <w:p w14:paraId="4D10941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-0.1155</w:t>
            </w:r>
          </w:p>
        </w:tc>
        <w:tc>
          <w:tcPr>
            <w:tcW w:w="1169" w:type="dxa"/>
            <w:tcBorders>
              <w:top w:val="nil"/>
              <w:left w:val="nil"/>
              <w:bottom w:val="single" w:sz="8" w:space="0" w:color="000000"/>
              <w:right w:val="single" w:sz="8" w:space="0" w:color="000000"/>
            </w:tcBorders>
            <w:shd w:val="clear" w:color="auto" w:fill="auto"/>
            <w:vAlign w:val="center"/>
            <w:hideMark/>
          </w:tcPr>
          <w:p w14:paraId="100F23A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0.0746</w:t>
            </w:r>
          </w:p>
        </w:tc>
        <w:tc>
          <w:tcPr>
            <w:tcW w:w="1163" w:type="dxa"/>
            <w:tcBorders>
              <w:top w:val="nil"/>
              <w:left w:val="nil"/>
              <w:bottom w:val="single" w:sz="8" w:space="0" w:color="000000"/>
              <w:right w:val="single" w:sz="8" w:space="0" w:color="000000"/>
            </w:tcBorders>
            <w:shd w:val="clear" w:color="auto" w:fill="auto"/>
            <w:vAlign w:val="center"/>
            <w:hideMark/>
          </w:tcPr>
          <w:p w14:paraId="2FD6C46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0.1280</w:t>
            </w:r>
          </w:p>
        </w:tc>
        <w:tc>
          <w:tcPr>
            <w:tcW w:w="1165" w:type="dxa"/>
            <w:tcBorders>
              <w:top w:val="nil"/>
              <w:left w:val="nil"/>
              <w:bottom w:val="single" w:sz="8" w:space="0" w:color="000000"/>
              <w:right w:val="single" w:sz="8" w:space="0" w:color="000000"/>
            </w:tcBorders>
            <w:shd w:val="clear" w:color="auto" w:fill="auto"/>
            <w:vAlign w:val="center"/>
            <w:hideMark/>
          </w:tcPr>
          <w:p w14:paraId="5D3AB43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0.0356</w:t>
            </w:r>
          </w:p>
        </w:tc>
      </w:tr>
      <w:tr w:rsidR="007E550A" w:rsidRPr="0025718F" w14:paraId="35FE8099"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12835F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2016-02-01</w:t>
            </w:r>
          </w:p>
        </w:tc>
        <w:tc>
          <w:tcPr>
            <w:tcW w:w="962" w:type="dxa"/>
            <w:tcBorders>
              <w:top w:val="nil"/>
              <w:left w:val="nil"/>
              <w:bottom w:val="single" w:sz="8" w:space="0" w:color="000000"/>
              <w:right w:val="single" w:sz="8" w:space="0" w:color="000000"/>
            </w:tcBorders>
            <w:shd w:val="clear" w:color="auto" w:fill="auto"/>
            <w:vAlign w:val="center"/>
            <w:hideMark/>
          </w:tcPr>
          <w:p w14:paraId="5EAA675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-0.0388</w:t>
            </w:r>
          </w:p>
        </w:tc>
        <w:tc>
          <w:tcPr>
            <w:tcW w:w="1164" w:type="dxa"/>
            <w:tcBorders>
              <w:top w:val="nil"/>
              <w:left w:val="nil"/>
              <w:bottom w:val="single" w:sz="8" w:space="0" w:color="000000"/>
              <w:right w:val="single" w:sz="8" w:space="0" w:color="000000"/>
            </w:tcBorders>
            <w:shd w:val="clear" w:color="auto" w:fill="auto"/>
            <w:vAlign w:val="center"/>
            <w:hideMark/>
          </w:tcPr>
          <w:p w14:paraId="4A4C74E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0.0576</w:t>
            </w:r>
          </w:p>
        </w:tc>
        <w:tc>
          <w:tcPr>
            <w:tcW w:w="1163" w:type="dxa"/>
            <w:tcBorders>
              <w:top w:val="nil"/>
              <w:left w:val="nil"/>
              <w:bottom w:val="single" w:sz="8" w:space="0" w:color="000000"/>
              <w:right w:val="single" w:sz="8" w:space="0" w:color="000000"/>
            </w:tcBorders>
            <w:shd w:val="clear" w:color="auto" w:fill="auto"/>
            <w:vAlign w:val="center"/>
            <w:hideMark/>
          </w:tcPr>
          <w:p w14:paraId="722E00D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-0.0695</w:t>
            </w:r>
          </w:p>
        </w:tc>
        <w:tc>
          <w:tcPr>
            <w:tcW w:w="1165" w:type="dxa"/>
            <w:tcBorders>
              <w:top w:val="nil"/>
              <w:left w:val="nil"/>
              <w:bottom w:val="single" w:sz="8" w:space="0" w:color="000000"/>
              <w:right w:val="single" w:sz="8" w:space="0" w:color="000000"/>
            </w:tcBorders>
            <w:shd w:val="clear" w:color="auto" w:fill="auto"/>
            <w:vAlign w:val="center"/>
            <w:hideMark/>
          </w:tcPr>
          <w:p w14:paraId="69E2E4B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-0.0600</w:t>
            </w:r>
          </w:p>
        </w:tc>
        <w:tc>
          <w:tcPr>
            <w:tcW w:w="1169" w:type="dxa"/>
            <w:tcBorders>
              <w:top w:val="nil"/>
              <w:left w:val="nil"/>
              <w:bottom w:val="single" w:sz="8" w:space="0" w:color="000000"/>
              <w:right w:val="single" w:sz="8" w:space="0" w:color="000000"/>
            </w:tcBorders>
            <w:shd w:val="clear" w:color="auto" w:fill="auto"/>
            <w:vAlign w:val="center"/>
            <w:hideMark/>
          </w:tcPr>
          <w:p w14:paraId="406C10C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-0.0472</w:t>
            </w:r>
          </w:p>
        </w:tc>
        <w:tc>
          <w:tcPr>
            <w:tcW w:w="1163" w:type="dxa"/>
            <w:tcBorders>
              <w:top w:val="nil"/>
              <w:left w:val="nil"/>
              <w:bottom w:val="single" w:sz="8" w:space="0" w:color="000000"/>
              <w:right w:val="single" w:sz="8" w:space="0" w:color="000000"/>
            </w:tcBorders>
            <w:shd w:val="clear" w:color="auto" w:fill="auto"/>
            <w:vAlign w:val="center"/>
            <w:hideMark/>
          </w:tcPr>
          <w:p w14:paraId="0CCC57CC"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-0.0786</w:t>
            </w:r>
          </w:p>
        </w:tc>
        <w:tc>
          <w:tcPr>
            <w:tcW w:w="1165" w:type="dxa"/>
            <w:tcBorders>
              <w:top w:val="nil"/>
              <w:left w:val="nil"/>
              <w:bottom w:val="single" w:sz="8" w:space="0" w:color="000000"/>
              <w:right w:val="single" w:sz="8" w:space="0" w:color="000000"/>
            </w:tcBorders>
            <w:shd w:val="clear" w:color="auto" w:fill="auto"/>
            <w:vAlign w:val="center"/>
            <w:hideMark/>
          </w:tcPr>
          <w:p w14:paraId="1650D4C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-0.0771</w:t>
            </w:r>
          </w:p>
        </w:tc>
      </w:tr>
      <w:tr w:rsidR="007E550A" w:rsidRPr="0025718F" w14:paraId="23D2ABFA"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7F9845E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2016-02-15</w:t>
            </w:r>
          </w:p>
        </w:tc>
        <w:tc>
          <w:tcPr>
            <w:tcW w:w="962" w:type="dxa"/>
            <w:tcBorders>
              <w:top w:val="nil"/>
              <w:left w:val="nil"/>
              <w:bottom w:val="single" w:sz="8" w:space="0" w:color="000000"/>
              <w:right w:val="single" w:sz="8" w:space="0" w:color="000000"/>
            </w:tcBorders>
            <w:shd w:val="clear" w:color="auto" w:fill="auto"/>
            <w:vAlign w:val="center"/>
            <w:hideMark/>
          </w:tcPr>
          <w:p w14:paraId="0FBF4E7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0.2273</w:t>
            </w:r>
          </w:p>
        </w:tc>
        <w:tc>
          <w:tcPr>
            <w:tcW w:w="1164" w:type="dxa"/>
            <w:tcBorders>
              <w:top w:val="nil"/>
              <w:left w:val="nil"/>
              <w:bottom w:val="single" w:sz="8" w:space="0" w:color="000000"/>
              <w:right w:val="single" w:sz="8" w:space="0" w:color="000000"/>
            </w:tcBorders>
            <w:shd w:val="clear" w:color="auto" w:fill="auto"/>
            <w:vAlign w:val="center"/>
            <w:hideMark/>
          </w:tcPr>
          <w:p w14:paraId="3933170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0.2138</w:t>
            </w:r>
          </w:p>
        </w:tc>
        <w:tc>
          <w:tcPr>
            <w:tcW w:w="1163" w:type="dxa"/>
            <w:tcBorders>
              <w:top w:val="nil"/>
              <w:left w:val="nil"/>
              <w:bottom w:val="single" w:sz="8" w:space="0" w:color="000000"/>
              <w:right w:val="single" w:sz="8" w:space="0" w:color="000000"/>
            </w:tcBorders>
            <w:shd w:val="clear" w:color="auto" w:fill="auto"/>
            <w:vAlign w:val="center"/>
            <w:hideMark/>
          </w:tcPr>
          <w:p w14:paraId="78067C6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0.0605</w:t>
            </w:r>
          </w:p>
        </w:tc>
        <w:tc>
          <w:tcPr>
            <w:tcW w:w="1165" w:type="dxa"/>
            <w:tcBorders>
              <w:top w:val="nil"/>
              <w:left w:val="nil"/>
              <w:bottom w:val="single" w:sz="8" w:space="0" w:color="000000"/>
              <w:right w:val="single" w:sz="8" w:space="0" w:color="000000"/>
            </w:tcBorders>
            <w:shd w:val="clear" w:color="auto" w:fill="auto"/>
            <w:vAlign w:val="center"/>
            <w:hideMark/>
          </w:tcPr>
          <w:p w14:paraId="2BDF124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0.1995</w:t>
            </w:r>
          </w:p>
        </w:tc>
        <w:tc>
          <w:tcPr>
            <w:tcW w:w="1169" w:type="dxa"/>
            <w:tcBorders>
              <w:top w:val="nil"/>
              <w:left w:val="nil"/>
              <w:bottom w:val="single" w:sz="8" w:space="0" w:color="000000"/>
              <w:right w:val="single" w:sz="8" w:space="0" w:color="000000"/>
            </w:tcBorders>
            <w:shd w:val="clear" w:color="auto" w:fill="auto"/>
            <w:vAlign w:val="center"/>
            <w:hideMark/>
          </w:tcPr>
          <w:p w14:paraId="27CCCA58"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0.0001</w:t>
            </w:r>
          </w:p>
        </w:tc>
        <w:tc>
          <w:tcPr>
            <w:tcW w:w="1163" w:type="dxa"/>
            <w:tcBorders>
              <w:top w:val="nil"/>
              <w:left w:val="nil"/>
              <w:bottom w:val="single" w:sz="8" w:space="0" w:color="000000"/>
              <w:right w:val="single" w:sz="8" w:space="0" w:color="000000"/>
            </w:tcBorders>
            <w:shd w:val="clear" w:color="auto" w:fill="auto"/>
            <w:vAlign w:val="center"/>
            <w:hideMark/>
          </w:tcPr>
          <w:p w14:paraId="767B4D4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0.0823</w:t>
            </w:r>
          </w:p>
        </w:tc>
        <w:tc>
          <w:tcPr>
            <w:tcW w:w="1165" w:type="dxa"/>
            <w:tcBorders>
              <w:top w:val="nil"/>
              <w:left w:val="nil"/>
              <w:bottom w:val="single" w:sz="8" w:space="0" w:color="000000"/>
              <w:right w:val="single" w:sz="8" w:space="0" w:color="000000"/>
            </w:tcBorders>
            <w:shd w:val="clear" w:color="auto" w:fill="auto"/>
            <w:vAlign w:val="center"/>
            <w:hideMark/>
          </w:tcPr>
          <w:p w14:paraId="7351CA81"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0.0982</w:t>
            </w:r>
          </w:p>
        </w:tc>
      </w:tr>
      <w:tr w:rsidR="007E550A" w:rsidRPr="0025718F" w14:paraId="19797F6B"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41C6C1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2016-02-29</w:t>
            </w:r>
          </w:p>
        </w:tc>
        <w:tc>
          <w:tcPr>
            <w:tcW w:w="962" w:type="dxa"/>
            <w:tcBorders>
              <w:top w:val="nil"/>
              <w:left w:val="nil"/>
              <w:bottom w:val="single" w:sz="8" w:space="0" w:color="000000"/>
              <w:right w:val="single" w:sz="8" w:space="0" w:color="000000"/>
            </w:tcBorders>
            <w:shd w:val="clear" w:color="auto" w:fill="auto"/>
            <w:vAlign w:val="center"/>
            <w:hideMark/>
          </w:tcPr>
          <w:p w14:paraId="316A7E4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-0.0170</w:t>
            </w:r>
          </w:p>
        </w:tc>
        <w:tc>
          <w:tcPr>
            <w:tcW w:w="1164" w:type="dxa"/>
            <w:tcBorders>
              <w:top w:val="nil"/>
              <w:left w:val="nil"/>
              <w:bottom w:val="single" w:sz="8" w:space="0" w:color="000000"/>
              <w:right w:val="single" w:sz="8" w:space="0" w:color="000000"/>
            </w:tcBorders>
            <w:shd w:val="clear" w:color="auto" w:fill="auto"/>
            <w:vAlign w:val="center"/>
            <w:hideMark/>
          </w:tcPr>
          <w:p w14:paraId="5D7B22D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-0.0853</w:t>
            </w:r>
          </w:p>
        </w:tc>
        <w:tc>
          <w:tcPr>
            <w:tcW w:w="1163" w:type="dxa"/>
            <w:tcBorders>
              <w:top w:val="nil"/>
              <w:left w:val="nil"/>
              <w:bottom w:val="single" w:sz="8" w:space="0" w:color="000000"/>
              <w:right w:val="single" w:sz="8" w:space="0" w:color="000000"/>
            </w:tcBorders>
            <w:shd w:val="clear" w:color="auto" w:fill="auto"/>
            <w:vAlign w:val="center"/>
            <w:hideMark/>
          </w:tcPr>
          <w:p w14:paraId="57F3682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0.0889</w:t>
            </w:r>
          </w:p>
        </w:tc>
        <w:tc>
          <w:tcPr>
            <w:tcW w:w="1165" w:type="dxa"/>
            <w:tcBorders>
              <w:top w:val="nil"/>
              <w:left w:val="nil"/>
              <w:bottom w:val="single" w:sz="8" w:space="0" w:color="000000"/>
              <w:right w:val="single" w:sz="8" w:space="0" w:color="000000"/>
            </w:tcBorders>
            <w:shd w:val="clear" w:color="auto" w:fill="auto"/>
            <w:vAlign w:val="center"/>
            <w:hideMark/>
          </w:tcPr>
          <w:p w14:paraId="2FF014F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-0.0261</w:t>
            </w:r>
          </w:p>
        </w:tc>
        <w:tc>
          <w:tcPr>
            <w:tcW w:w="1169" w:type="dxa"/>
            <w:tcBorders>
              <w:top w:val="nil"/>
              <w:left w:val="nil"/>
              <w:bottom w:val="single" w:sz="8" w:space="0" w:color="000000"/>
              <w:right w:val="single" w:sz="8" w:space="0" w:color="000000"/>
            </w:tcBorders>
            <w:shd w:val="clear" w:color="auto" w:fill="auto"/>
            <w:vAlign w:val="center"/>
            <w:hideMark/>
          </w:tcPr>
          <w:p w14:paraId="2860E4F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0.0383</w:t>
            </w:r>
          </w:p>
        </w:tc>
        <w:tc>
          <w:tcPr>
            <w:tcW w:w="1163" w:type="dxa"/>
            <w:tcBorders>
              <w:top w:val="nil"/>
              <w:left w:val="nil"/>
              <w:bottom w:val="single" w:sz="8" w:space="0" w:color="000000"/>
              <w:right w:val="single" w:sz="8" w:space="0" w:color="000000"/>
            </w:tcBorders>
            <w:shd w:val="clear" w:color="auto" w:fill="auto"/>
            <w:vAlign w:val="center"/>
            <w:hideMark/>
          </w:tcPr>
          <w:p w14:paraId="283C385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-0.0114</w:t>
            </w:r>
          </w:p>
        </w:tc>
        <w:tc>
          <w:tcPr>
            <w:tcW w:w="1165" w:type="dxa"/>
            <w:tcBorders>
              <w:top w:val="nil"/>
              <w:left w:val="nil"/>
              <w:bottom w:val="single" w:sz="8" w:space="0" w:color="000000"/>
              <w:right w:val="single" w:sz="8" w:space="0" w:color="000000"/>
            </w:tcBorders>
            <w:shd w:val="clear" w:color="auto" w:fill="auto"/>
            <w:vAlign w:val="center"/>
            <w:hideMark/>
          </w:tcPr>
          <w:p w14:paraId="294A10F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0.0340</w:t>
            </w:r>
          </w:p>
        </w:tc>
      </w:tr>
    </w:tbl>
    <w:p w14:paraId="0BCA5185" w14:textId="77777777" w:rsidR="007E550A" w:rsidRDefault="007E550A" w:rsidP="006034AD">
      <w:pPr>
        <w:spacing w:line="300" w:lineRule="auto"/>
      </w:pPr>
    </w:p>
    <w:p w14:paraId="2D862FA4" w14:textId="77777777" w:rsidR="006A3140" w:rsidRDefault="00930D4D" w:rsidP="007E550A">
      <w:pPr>
        <w:spacing w:line="300" w:lineRule="auto"/>
      </w:pPr>
      <w:r>
        <w:t xml:space="preserve">Where each day in the table contains the cumulative return for each stock over ten business days. </w:t>
      </w:r>
    </w:p>
    <w:p w14:paraId="64816B18" w14:textId="77777777" w:rsidR="006A3140" w:rsidRDefault="006A3140" w:rsidP="007E550A">
      <w:pPr>
        <w:spacing w:line="300" w:lineRule="auto"/>
      </w:pPr>
    </w:p>
    <w:p w14:paraId="5318F69B" w14:textId="36816EBC" w:rsidR="00857051" w:rsidRDefault="007E550A" w:rsidP="006034AD">
      <w:pPr>
        <w:spacing w:line="300" w:lineRule="auto"/>
      </w:pPr>
      <w:r>
        <w:t>The</w:t>
      </w:r>
      <w:r w:rsidR="00E77E27">
        <w:t xml:space="preserve">se returns need to be weighted </w:t>
      </w:r>
      <w:r>
        <w:t>given our momentum investing strategy</w:t>
      </w:r>
      <w:r w:rsidR="00D40E9A">
        <w:t xml:space="preserve"> of buying on uptrends and selling off on downtrends</w:t>
      </w:r>
      <w:r w:rsidR="00741983">
        <w:t xml:space="preserve"> that we previously defined</w:t>
      </w:r>
      <w:r>
        <w:t>. This is where our lookback period has direct effect on the size of each investment in our portfolio.</w:t>
      </w:r>
      <w:r w:rsidR="00E84C10">
        <w:t xml:space="preserve"> Our lookback period is responsible for creating the momentum weights of our portfolio, which will be multiplied by the returns for each of the relevant stocks in the portfolio.</w:t>
      </w:r>
      <w:r>
        <w:t xml:space="preserve"> </w:t>
      </w:r>
      <w:r w:rsidR="00E77E27">
        <w:t>However, given our returns are aggregated</w:t>
      </w:r>
      <w:r w:rsidR="00A560A0">
        <w:t xml:space="preserve"> by the holding period chosen</w:t>
      </w:r>
      <w:r w:rsidR="00E77E27">
        <w:t>, the</w:t>
      </w:r>
      <w:r>
        <w:t xml:space="preserve"> holding period also determines the aggregation or resampling m</w:t>
      </w:r>
      <w:r w:rsidR="00E84C10">
        <w:t>ethod for the portfolio weights to ensure dates are aligned properly. As can be seen in Table 4, returns and weights are aligned based on the holding period timeframe of ten business days.</w:t>
      </w:r>
      <w:r w:rsidR="00C6207F">
        <w:t xml:space="preserve"> As previously stated, stocks are ranked in ascending order based on their given </w:t>
      </w:r>
      <w:r w:rsidR="00C6207F">
        <w:lastRenderedPageBreak/>
        <w:t>momentum calculations. These ranks are then standardized in order to c</w:t>
      </w:r>
      <w:r w:rsidR="00901AB0">
        <w:t>reate weights for the portfolio.</w:t>
      </w:r>
    </w:p>
    <w:p w14:paraId="3CD8EE3D" w14:textId="77777777" w:rsidR="00247172" w:rsidRDefault="00247172" w:rsidP="00193D58">
      <w:pPr>
        <w:spacing w:line="300" w:lineRule="auto"/>
        <w:rPr>
          <w:sz w:val="20"/>
          <w:szCs w:val="20"/>
        </w:rPr>
      </w:pPr>
    </w:p>
    <w:p w14:paraId="26452CA3" w14:textId="7BD938C9" w:rsidR="007E550A" w:rsidRPr="007E550A" w:rsidRDefault="007E550A" w:rsidP="007E550A">
      <w:pPr>
        <w:spacing w:line="300" w:lineRule="auto"/>
        <w:jc w:val="center"/>
        <w:rPr>
          <w:sz w:val="20"/>
          <w:szCs w:val="20"/>
        </w:rPr>
      </w:pPr>
      <w:r>
        <w:rPr>
          <w:sz w:val="20"/>
          <w:szCs w:val="20"/>
        </w:rPr>
        <w:t>Table 4</w:t>
      </w:r>
      <w:r w:rsidRPr="007E550A">
        <w:rPr>
          <w:sz w:val="20"/>
          <w:szCs w:val="20"/>
        </w:rPr>
        <w:t>: Momentum-Based Weights</w:t>
      </w:r>
      <w:r w:rsidR="00193D58">
        <w:rPr>
          <w:sz w:val="20"/>
          <w:szCs w:val="20"/>
        </w:rPr>
        <w:t xml:space="preserve"> for Holding Period of 10 Days, Lookback Period of 3 Days</w:t>
      </w:r>
    </w:p>
    <w:tbl>
      <w:tblPr>
        <w:tblW w:w="9391" w:type="dxa"/>
        <w:tblInd w:w="-8" w:type="dxa"/>
        <w:tblLook w:val="04A0" w:firstRow="1" w:lastRow="0" w:firstColumn="1" w:lastColumn="0" w:noHBand="0" w:noVBand="1"/>
      </w:tblPr>
      <w:tblGrid>
        <w:gridCol w:w="1440"/>
        <w:gridCol w:w="962"/>
        <w:gridCol w:w="1164"/>
        <w:gridCol w:w="1163"/>
        <w:gridCol w:w="1165"/>
        <w:gridCol w:w="1169"/>
        <w:gridCol w:w="1163"/>
        <w:gridCol w:w="1165"/>
      </w:tblGrid>
      <w:tr w:rsidR="007E550A" w:rsidRPr="00821F26" w14:paraId="3DF2BF55" w14:textId="77777777" w:rsidTr="00A30429">
        <w:trPr>
          <w:trHeight w:val="301"/>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CE2682"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Date</w:t>
            </w:r>
          </w:p>
        </w:tc>
        <w:tc>
          <w:tcPr>
            <w:tcW w:w="962" w:type="dxa"/>
            <w:tcBorders>
              <w:top w:val="single" w:sz="8" w:space="0" w:color="000000"/>
              <w:left w:val="nil"/>
              <w:bottom w:val="single" w:sz="8" w:space="0" w:color="000000"/>
              <w:right w:val="single" w:sz="8" w:space="0" w:color="000000"/>
            </w:tcBorders>
            <w:shd w:val="clear" w:color="auto" w:fill="auto"/>
            <w:vAlign w:val="center"/>
            <w:hideMark/>
          </w:tcPr>
          <w:p w14:paraId="6DA8130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DPZ</w:t>
            </w:r>
          </w:p>
        </w:tc>
        <w:tc>
          <w:tcPr>
            <w:tcW w:w="1164" w:type="dxa"/>
            <w:tcBorders>
              <w:top w:val="single" w:sz="8" w:space="0" w:color="000000"/>
              <w:left w:val="nil"/>
              <w:bottom w:val="single" w:sz="8" w:space="0" w:color="000000"/>
              <w:right w:val="single" w:sz="8" w:space="0" w:color="000000"/>
            </w:tcBorders>
            <w:shd w:val="clear" w:color="auto" w:fill="auto"/>
            <w:vAlign w:val="center"/>
            <w:hideMark/>
          </w:tcPr>
          <w:p w14:paraId="63EEF08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PZZA</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608E1D9E"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YUM</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4713278A"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FRSH</w:t>
            </w:r>
          </w:p>
        </w:tc>
        <w:tc>
          <w:tcPr>
            <w:tcW w:w="1169" w:type="dxa"/>
            <w:tcBorders>
              <w:top w:val="single" w:sz="8" w:space="0" w:color="000000"/>
              <w:left w:val="nil"/>
              <w:bottom w:val="single" w:sz="8" w:space="0" w:color="000000"/>
              <w:right w:val="single" w:sz="8" w:space="0" w:color="000000"/>
            </w:tcBorders>
            <w:shd w:val="clear" w:color="auto" w:fill="auto"/>
            <w:vAlign w:val="center"/>
            <w:hideMark/>
          </w:tcPr>
          <w:p w14:paraId="44E0BD9D"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MCD</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7CD6F9C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KHC</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5E38A3DA"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PLAY</w:t>
            </w:r>
          </w:p>
        </w:tc>
      </w:tr>
      <w:tr w:rsidR="007E550A" w:rsidRPr="00821F26" w14:paraId="56A8FA28"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24A2F14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2016-01-04</w:t>
            </w:r>
          </w:p>
        </w:tc>
        <w:tc>
          <w:tcPr>
            <w:tcW w:w="962" w:type="dxa"/>
            <w:tcBorders>
              <w:top w:val="nil"/>
              <w:left w:val="nil"/>
              <w:bottom w:val="single" w:sz="8" w:space="0" w:color="000000"/>
              <w:right w:val="single" w:sz="8" w:space="0" w:color="000000"/>
            </w:tcBorders>
            <w:shd w:val="clear" w:color="auto" w:fill="auto"/>
            <w:vAlign w:val="center"/>
            <w:hideMark/>
          </w:tcPr>
          <w:p w14:paraId="1A0E0822"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4" w:type="dxa"/>
            <w:tcBorders>
              <w:top w:val="nil"/>
              <w:left w:val="nil"/>
              <w:bottom w:val="single" w:sz="8" w:space="0" w:color="000000"/>
              <w:right w:val="single" w:sz="8" w:space="0" w:color="000000"/>
            </w:tcBorders>
            <w:shd w:val="clear" w:color="auto" w:fill="auto"/>
            <w:vAlign w:val="center"/>
            <w:hideMark/>
          </w:tcPr>
          <w:p w14:paraId="275AB8B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3" w:type="dxa"/>
            <w:tcBorders>
              <w:top w:val="nil"/>
              <w:left w:val="nil"/>
              <w:bottom w:val="single" w:sz="8" w:space="0" w:color="000000"/>
              <w:right w:val="single" w:sz="8" w:space="0" w:color="000000"/>
            </w:tcBorders>
            <w:shd w:val="clear" w:color="auto" w:fill="auto"/>
            <w:vAlign w:val="center"/>
            <w:hideMark/>
          </w:tcPr>
          <w:p w14:paraId="5E6C7548"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01DC253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9" w:type="dxa"/>
            <w:tcBorders>
              <w:top w:val="nil"/>
              <w:left w:val="nil"/>
              <w:bottom w:val="single" w:sz="8" w:space="0" w:color="000000"/>
              <w:right w:val="single" w:sz="8" w:space="0" w:color="000000"/>
            </w:tcBorders>
            <w:shd w:val="clear" w:color="auto" w:fill="auto"/>
            <w:vAlign w:val="center"/>
            <w:hideMark/>
          </w:tcPr>
          <w:p w14:paraId="758CBBEB"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331219C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5873344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r>
      <w:tr w:rsidR="007E550A" w:rsidRPr="00821F26" w14:paraId="20D77471"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2B91A82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2016-01-18</w:t>
            </w:r>
          </w:p>
        </w:tc>
        <w:tc>
          <w:tcPr>
            <w:tcW w:w="962" w:type="dxa"/>
            <w:tcBorders>
              <w:top w:val="nil"/>
              <w:left w:val="nil"/>
              <w:bottom w:val="single" w:sz="8" w:space="0" w:color="000000"/>
              <w:right w:val="single" w:sz="8" w:space="0" w:color="000000"/>
            </w:tcBorders>
            <w:shd w:val="clear" w:color="auto" w:fill="auto"/>
            <w:vAlign w:val="center"/>
            <w:hideMark/>
          </w:tcPr>
          <w:p w14:paraId="0DEB941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4" w:type="dxa"/>
            <w:tcBorders>
              <w:top w:val="nil"/>
              <w:left w:val="nil"/>
              <w:bottom w:val="single" w:sz="8" w:space="0" w:color="000000"/>
              <w:right w:val="single" w:sz="8" w:space="0" w:color="000000"/>
            </w:tcBorders>
            <w:shd w:val="clear" w:color="auto" w:fill="auto"/>
            <w:vAlign w:val="center"/>
            <w:hideMark/>
          </w:tcPr>
          <w:p w14:paraId="219C0BB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3" w:type="dxa"/>
            <w:tcBorders>
              <w:top w:val="nil"/>
              <w:left w:val="nil"/>
              <w:bottom w:val="single" w:sz="8" w:space="0" w:color="000000"/>
              <w:right w:val="single" w:sz="8" w:space="0" w:color="000000"/>
            </w:tcBorders>
            <w:shd w:val="clear" w:color="auto" w:fill="auto"/>
            <w:vAlign w:val="center"/>
            <w:hideMark/>
          </w:tcPr>
          <w:p w14:paraId="7A7B615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6A53622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9" w:type="dxa"/>
            <w:tcBorders>
              <w:top w:val="nil"/>
              <w:left w:val="nil"/>
              <w:bottom w:val="single" w:sz="8" w:space="0" w:color="000000"/>
              <w:right w:val="single" w:sz="8" w:space="0" w:color="000000"/>
            </w:tcBorders>
            <w:shd w:val="clear" w:color="auto" w:fill="auto"/>
            <w:vAlign w:val="center"/>
            <w:hideMark/>
          </w:tcPr>
          <w:p w14:paraId="1BEA9BD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126936C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69669E6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r>
      <w:tr w:rsidR="007E550A" w:rsidRPr="00821F26" w14:paraId="7DD616B4"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049ACE2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2016-02-01</w:t>
            </w:r>
          </w:p>
        </w:tc>
        <w:tc>
          <w:tcPr>
            <w:tcW w:w="962" w:type="dxa"/>
            <w:tcBorders>
              <w:top w:val="nil"/>
              <w:left w:val="nil"/>
              <w:bottom w:val="single" w:sz="8" w:space="0" w:color="000000"/>
              <w:right w:val="single" w:sz="8" w:space="0" w:color="000000"/>
            </w:tcBorders>
            <w:shd w:val="clear" w:color="auto" w:fill="auto"/>
            <w:vAlign w:val="center"/>
            <w:hideMark/>
          </w:tcPr>
          <w:p w14:paraId="41E42D8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0.00000</w:t>
            </w:r>
          </w:p>
        </w:tc>
        <w:tc>
          <w:tcPr>
            <w:tcW w:w="1164" w:type="dxa"/>
            <w:tcBorders>
              <w:top w:val="nil"/>
              <w:left w:val="nil"/>
              <w:bottom w:val="single" w:sz="8" w:space="0" w:color="000000"/>
              <w:right w:val="single" w:sz="8" w:space="0" w:color="000000"/>
            </w:tcBorders>
            <w:shd w:val="clear" w:color="auto" w:fill="auto"/>
            <w:vAlign w:val="center"/>
            <w:hideMark/>
          </w:tcPr>
          <w:p w14:paraId="69B348B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1DF988E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0906838E"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9" w:type="dxa"/>
            <w:tcBorders>
              <w:top w:val="nil"/>
              <w:left w:val="nil"/>
              <w:bottom w:val="single" w:sz="8" w:space="0" w:color="000000"/>
              <w:right w:val="single" w:sz="8" w:space="0" w:color="000000"/>
            </w:tcBorders>
            <w:shd w:val="clear" w:color="auto" w:fill="auto"/>
            <w:vAlign w:val="center"/>
            <w:hideMark/>
          </w:tcPr>
          <w:p w14:paraId="59F18C7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22A5AB3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48A505A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r w:rsidR="007E550A" w:rsidRPr="00821F26" w14:paraId="699602F4"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1931E51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2016-02-15</w:t>
            </w:r>
          </w:p>
        </w:tc>
        <w:tc>
          <w:tcPr>
            <w:tcW w:w="962" w:type="dxa"/>
            <w:tcBorders>
              <w:top w:val="nil"/>
              <w:left w:val="nil"/>
              <w:bottom w:val="single" w:sz="8" w:space="0" w:color="000000"/>
              <w:right w:val="single" w:sz="8" w:space="0" w:color="000000"/>
            </w:tcBorders>
            <w:shd w:val="clear" w:color="auto" w:fill="auto"/>
            <w:vAlign w:val="center"/>
            <w:hideMark/>
          </w:tcPr>
          <w:p w14:paraId="2A2E53D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4" w:type="dxa"/>
            <w:tcBorders>
              <w:top w:val="nil"/>
              <w:left w:val="nil"/>
              <w:bottom w:val="single" w:sz="8" w:space="0" w:color="000000"/>
              <w:right w:val="single" w:sz="8" w:space="0" w:color="000000"/>
            </w:tcBorders>
            <w:shd w:val="clear" w:color="auto" w:fill="auto"/>
            <w:vAlign w:val="center"/>
            <w:hideMark/>
          </w:tcPr>
          <w:p w14:paraId="4E53003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3" w:type="dxa"/>
            <w:tcBorders>
              <w:top w:val="nil"/>
              <w:left w:val="nil"/>
              <w:bottom w:val="single" w:sz="8" w:space="0" w:color="000000"/>
              <w:right w:val="single" w:sz="8" w:space="0" w:color="000000"/>
            </w:tcBorders>
            <w:shd w:val="clear" w:color="auto" w:fill="auto"/>
            <w:vAlign w:val="center"/>
            <w:hideMark/>
          </w:tcPr>
          <w:p w14:paraId="613C6F7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668DCDA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9" w:type="dxa"/>
            <w:tcBorders>
              <w:top w:val="nil"/>
              <w:left w:val="nil"/>
              <w:bottom w:val="single" w:sz="8" w:space="0" w:color="000000"/>
              <w:right w:val="single" w:sz="8" w:space="0" w:color="000000"/>
            </w:tcBorders>
            <w:shd w:val="clear" w:color="auto" w:fill="auto"/>
            <w:vAlign w:val="center"/>
            <w:hideMark/>
          </w:tcPr>
          <w:p w14:paraId="69173ED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3BD24FF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5" w:type="dxa"/>
            <w:tcBorders>
              <w:top w:val="nil"/>
              <w:left w:val="nil"/>
              <w:bottom w:val="single" w:sz="8" w:space="0" w:color="000000"/>
              <w:right w:val="single" w:sz="8" w:space="0" w:color="000000"/>
            </w:tcBorders>
            <w:shd w:val="clear" w:color="auto" w:fill="auto"/>
            <w:vAlign w:val="center"/>
            <w:hideMark/>
          </w:tcPr>
          <w:p w14:paraId="0E518CD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r w:rsidR="007E550A" w:rsidRPr="00821F26" w14:paraId="5B9E6056"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3AFC3078"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2016-02-29</w:t>
            </w:r>
          </w:p>
        </w:tc>
        <w:tc>
          <w:tcPr>
            <w:tcW w:w="962" w:type="dxa"/>
            <w:tcBorders>
              <w:top w:val="nil"/>
              <w:left w:val="nil"/>
              <w:bottom w:val="single" w:sz="8" w:space="0" w:color="000000"/>
              <w:right w:val="single" w:sz="8" w:space="0" w:color="000000"/>
            </w:tcBorders>
            <w:shd w:val="clear" w:color="auto" w:fill="auto"/>
            <w:vAlign w:val="center"/>
            <w:hideMark/>
          </w:tcPr>
          <w:p w14:paraId="77DC3FA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4" w:type="dxa"/>
            <w:tcBorders>
              <w:top w:val="nil"/>
              <w:left w:val="nil"/>
              <w:bottom w:val="single" w:sz="8" w:space="0" w:color="000000"/>
              <w:right w:val="single" w:sz="8" w:space="0" w:color="000000"/>
            </w:tcBorders>
            <w:shd w:val="clear" w:color="auto" w:fill="auto"/>
            <w:vAlign w:val="center"/>
            <w:hideMark/>
          </w:tcPr>
          <w:p w14:paraId="57832EF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5EAD2A8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34450F0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9" w:type="dxa"/>
            <w:tcBorders>
              <w:top w:val="nil"/>
              <w:left w:val="nil"/>
              <w:bottom w:val="single" w:sz="8" w:space="0" w:color="000000"/>
              <w:right w:val="single" w:sz="8" w:space="0" w:color="000000"/>
            </w:tcBorders>
            <w:shd w:val="clear" w:color="auto" w:fill="auto"/>
            <w:vAlign w:val="center"/>
            <w:hideMark/>
          </w:tcPr>
          <w:p w14:paraId="585E49C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3441F12D"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5" w:type="dxa"/>
            <w:tcBorders>
              <w:top w:val="nil"/>
              <w:left w:val="nil"/>
              <w:bottom w:val="single" w:sz="8" w:space="0" w:color="000000"/>
              <w:right w:val="single" w:sz="8" w:space="0" w:color="000000"/>
            </w:tcBorders>
            <w:shd w:val="clear" w:color="auto" w:fill="auto"/>
            <w:vAlign w:val="center"/>
            <w:hideMark/>
          </w:tcPr>
          <w:p w14:paraId="60CE0B8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bl>
    <w:p w14:paraId="2DE300DD" w14:textId="77777777" w:rsidR="00E84C10" w:rsidRDefault="00E84C10" w:rsidP="006034AD">
      <w:pPr>
        <w:spacing w:line="300" w:lineRule="auto"/>
      </w:pPr>
    </w:p>
    <w:p w14:paraId="29745BF9" w14:textId="4327A1A0" w:rsidR="00287DE6" w:rsidRDefault="00E77E27" w:rsidP="006034AD">
      <w:pPr>
        <w:spacing w:line="300" w:lineRule="auto"/>
      </w:pPr>
      <w:r>
        <w:t xml:space="preserve">These two tabular outputs thus give us returns and weights for each holding period over our timeframe of January 1, 2016 to June 1, 2017. </w:t>
      </w:r>
      <w:r w:rsidR="00246073">
        <w:t>We multiply these two tables and sum along the rows to get portfolio returns for each holding period. We then</w:t>
      </w:r>
      <w:r w:rsidR="007A67B7">
        <w:t xml:space="preserve"> calculate a simplified Sharpe r</w:t>
      </w:r>
      <w:r w:rsidR="00246073">
        <w:t xml:space="preserve">atio </w:t>
      </w:r>
      <w:r w:rsidR="00287DE6">
        <w:t xml:space="preserve">by taking the mean of the returns divided by the standard deviation of the returns to score the quality of a given lookback, holding period combination. </w:t>
      </w:r>
    </w:p>
    <w:p w14:paraId="42C81BF1" w14:textId="77777777" w:rsidR="00287DE6" w:rsidRDefault="00287DE6" w:rsidP="006034AD">
      <w:pPr>
        <w:spacing w:line="300" w:lineRule="auto"/>
      </w:pPr>
    </w:p>
    <w:p w14:paraId="6E64D872" w14:textId="29B8C48A" w:rsidR="00025472" w:rsidRPr="00634714" w:rsidRDefault="00E77E27" w:rsidP="006034AD">
      <w:pPr>
        <w:spacing w:line="300" w:lineRule="auto"/>
      </w:pPr>
      <w:r>
        <w:t>Given</w:t>
      </w:r>
      <w:r w:rsidR="00E84C10">
        <w:t xml:space="preserve"> our momentum strategy is established, w</w:t>
      </w:r>
      <w:r w:rsidR="007937AF">
        <w:t xml:space="preserve">e then set up a </w:t>
      </w:r>
      <w:r w:rsidR="000A3D5C">
        <w:t>back-testing</w:t>
      </w:r>
      <w:r w:rsidR="007937AF">
        <w:t xml:space="preserve"> function to calculate the</w:t>
      </w:r>
      <w:r w:rsidR="00E84C10">
        <w:t xml:space="preserve"> portfolio</w:t>
      </w:r>
      <w:r w:rsidR="00B90C39">
        <w:t>,</w:t>
      </w:r>
      <w:r w:rsidR="00E84C10">
        <w:t xml:space="preserve"> iterating over many different</w:t>
      </w:r>
      <w:r w:rsidR="007937AF">
        <w:t xml:space="preserve"> lookback and holding period</w:t>
      </w:r>
      <w:r w:rsidR="00163DE4">
        <w:t xml:space="preserve"> combinations</w:t>
      </w:r>
      <w:r w:rsidR="00E84C10">
        <w:t xml:space="preserve">. </w:t>
      </w:r>
      <w:r>
        <w:t>In our case, we examine a range of 10 to 360 periods for both lookback and holding periods, using the Sharpe ratio to rank each combination of parameters based on risk adjusted returns.</w:t>
      </w:r>
      <w:r w:rsidR="007937AF">
        <w:t xml:space="preserve">  </w:t>
      </w:r>
    </w:p>
    <w:p w14:paraId="65721A04" w14:textId="7C2A17F0" w:rsidR="00377FB1" w:rsidRPr="00377FB1" w:rsidRDefault="00C3158A" w:rsidP="00377FB1">
      <w:pPr>
        <w:pStyle w:val="Heading2"/>
        <w:rPr>
          <w:b/>
          <w:sz w:val="26"/>
          <w:szCs w:val="26"/>
        </w:rPr>
      </w:pPr>
      <w:r w:rsidRPr="006034AD">
        <w:rPr>
          <w:b/>
          <w:sz w:val="26"/>
          <w:szCs w:val="26"/>
        </w:rPr>
        <w:t>Results</w:t>
      </w:r>
    </w:p>
    <w:p w14:paraId="6D25BC11" w14:textId="2F592E66" w:rsidR="008202C6" w:rsidRDefault="007D70AA">
      <w:r>
        <w:t>To rank momentum strategies,</w:t>
      </w:r>
      <w:r w:rsidR="008202C6">
        <w:t xml:space="preserve"> our method compares </w:t>
      </w:r>
      <w:r w:rsidR="00B95327">
        <w:t xml:space="preserve">resulting </w:t>
      </w:r>
      <w:r w:rsidR="008202C6">
        <w:t>Sharpe ratio</w:t>
      </w:r>
      <w:r w:rsidR="00B36A77">
        <w:t>s</w:t>
      </w:r>
      <w:r w:rsidR="008202C6">
        <w:t xml:space="preserve"> for </w:t>
      </w:r>
      <w:r w:rsidR="00B36A77">
        <w:t>each combination of lookback and holding period</w:t>
      </w:r>
      <w:r w:rsidR="00C56368">
        <w:t xml:space="preserve"> analyzed using the previously mentioned momentum investing methods</w:t>
      </w:r>
      <w:r w:rsidR="00C16825">
        <w:t xml:space="preserve">. </w:t>
      </w:r>
      <w:r w:rsidR="008202C6">
        <w:t>The paramet</w:t>
      </w:r>
      <w:r w:rsidR="002A49C1">
        <w:t>ers for look</w:t>
      </w:r>
      <w:r w:rsidR="008202C6">
        <w:t>back and holding periods were iterated</w:t>
      </w:r>
      <w:r w:rsidR="002A49C1">
        <w:t xml:space="preserve"> over</w:t>
      </w:r>
      <w:r w:rsidR="008202C6">
        <w:t xml:space="preserve"> to test possible com</w:t>
      </w:r>
      <w:r>
        <w:t>binations, and learn the optimal range of</w:t>
      </w:r>
      <w:r w:rsidR="008202C6">
        <w:t xml:space="preserve"> combination</w:t>
      </w:r>
      <w:r>
        <w:t>s for</w:t>
      </w:r>
      <w:r w:rsidR="00C16825">
        <w:t xml:space="preserve"> the two parameters. </w:t>
      </w:r>
      <w:r w:rsidR="008202C6">
        <w:t>Each parameter was varied in 10 day increments</w:t>
      </w:r>
      <w:r w:rsidR="006259BD">
        <w:t xml:space="preserve"> up to 360 days of lookback and holding periods</w:t>
      </w:r>
      <w:r w:rsidR="008202C6">
        <w:t xml:space="preserve">.  </w:t>
      </w:r>
    </w:p>
    <w:p w14:paraId="2668F371" w14:textId="23500268" w:rsidR="008202C6" w:rsidRDefault="008202C6"/>
    <w:p w14:paraId="4F7906C7" w14:textId="2DCD193B" w:rsidR="008202C6" w:rsidRDefault="008202C6">
      <w:r>
        <w:t>The he</w:t>
      </w:r>
      <w:r w:rsidR="003F67B0">
        <w:t>at map visualization in Figure 2</w:t>
      </w:r>
      <w:r>
        <w:t xml:space="preserve"> illustrates the outcomes from the tests, with brighter colors in</w:t>
      </w:r>
      <w:r w:rsidR="002A49C1">
        <w:t>dicating a higher Sharpe Ratio.</w:t>
      </w:r>
      <w:r w:rsidR="00EC1646">
        <w:t xml:space="preserve"> We only include Sharpe ratios considered “good,” or greater than one</w:t>
      </w:r>
      <w:r w:rsidR="00C97612">
        <w:t xml:space="preserve"> to de-clutter and find optimal clusters</w:t>
      </w:r>
      <w:r w:rsidR="00EC1646">
        <w:t>.</w:t>
      </w:r>
      <w:r>
        <w:t xml:space="preserve"> The x-axis illustrates the lookback period, and the y-axis</w:t>
      </w:r>
      <w:r w:rsidR="00387763">
        <w:t xml:space="preserve"> is</w:t>
      </w:r>
      <w:r>
        <w:t xml:space="preserve"> the holding period.  </w:t>
      </w:r>
    </w:p>
    <w:p w14:paraId="4F553D2E" w14:textId="1418FEEE" w:rsidR="008202C6" w:rsidRDefault="008202C6"/>
    <w:p w14:paraId="1DF8B58C" w14:textId="7D687F4A" w:rsidR="008202C6" w:rsidRDefault="00C11175">
      <w:r>
        <w:t xml:space="preserve">A </w:t>
      </w:r>
      <w:r w:rsidR="008202C6">
        <w:t>parameter grid search reveal</w:t>
      </w:r>
      <w:r w:rsidR="00B36A77">
        <w:t>s</w:t>
      </w:r>
      <w:r w:rsidR="008202C6">
        <w:t xml:space="preserve"> the best returns for the fast food portfolio consistently </w:t>
      </w:r>
      <w:r w:rsidR="00305CBB">
        <w:t>occur</w:t>
      </w:r>
      <w:r w:rsidR="00B36A77">
        <w:t xml:space="preserve"> </w:t>
      </w:r>
      <w:r w:rsidR="00C16825">
        <w:t xml:space="preserve">in the 70-day lookback period. </w:t>
      </w:r>
      <w:r w:rsidR="00B36A77">
        <w:t>The 70-</w:t>
      </w:r>
      <w:r w:rsidR="008E2148">
        <w:t>day lookback period has four holding periods with S</w:t>
      </w:r>
      <w:r w:rsidR="00C16825">
        <w:t xml:space="preserve">harpe ratio of 4.9 or greater. </w:t>
      </w:r>
      <w:r w:rsidR="008E2148">
        <w:t xml:space="preserve">The maximum value of the Sharpe Ratio is the intersection of </w:t>
      </w:r>
      <w:r w:rsidR="00305CBB">
        <w:t>70-day</w:t>
      </w:r>
      <w:r w:rsidR="008E2148">
        <w:t xml:space="preserve"> lookback with 230 day holding period, yielding a maximum value of 46.  A Sharpe ratio of 11 </w:t>
      </w:r>
      <w:r w:rsidR="008E2148">
        <w:lastRenderedPageBreak/>
        <w:t>was yielded from a lookback period of 70, with a 290 holding period.</w:t>
      </w:r>
      <w:r w:rsidR="007D70AA">
        <w:t xml:space="preserve"> </w:t>
      </w:r>
      <w:r w:rsidR="00305CBB">
        <w:t>Success with</w:t>
      </w:r>
      <w:r w:rsidR="007D70AA">
        <w:t xml:space="preserve"> longer holding periods make sense as the portfolio of fast food stocks are mostly increasing over the time span we are researching.</w:t>
      </w:r>
    </w:p>
    <w:p w14:paraId="364CD607" w14:textId="3CBBA894" w:rsidR="00AE513C" w:rsidRDefault="00AE513C"/>
    <w:p w14:paraId="063F0E09" w14:textId="01166375" w:rsidR="00AE513C" w:rsidRDefault="00AB6366">
      <w:r>
        <w:t xml:space="preserve">A </w:t>
      </w:r>
      <w:r w:rsidR="00CE407E">
        <w:t>90-day</w:t>
      </w:r>
      <w:r>
        <w:t xml:space="preserve"> look</w:t>
      </w:r>
      <w:r w:rsidR="00305CBB">
        <w:t>back period also produces</w:t>
      </w:r>
      <w:r w:rsidR="00AE513C">
        <w:t xml:space="preserve"> several </w:t>
      </w:r>
      <w:r>
        <w:t>significant</w:t>
      </w:r>
      <w:r w:rsidR="00AE513C">
        <w:t xml:space="preserve"> Sharpe ratios, with 100 and 140 day holding periods offering 5.7 and 5.8 scores</w:t>
      </w:r>
      <w:r w:rsidR="00EC1646">
        <w:t>,</w:t>
      </w:r>
      <w:r w:rsidR="00AE513C">
        <w:t xml:space="preserve"> respectively.  Generalized, the fast food portfolio shows a stronger Sharpe ratio score for intermediate look back peri</w:t>
      </w:r>
      <w:r w:rsidR="002A49C1">
        <w:t>ods</w:t>
      </w:r>
      <w:r>
        <w:t xml:space="preserve"> greater than 30 days</w:t>
      </w:r>
      <w:r w:rsidR="002A49C1">
        <w:t>, and longer holding periods, conforming to previous empirical studies</w:t>
      </w:r>
      <w:r w:rsidR="00EC1646">
        <w:t xml:space="preserve"> [1]</w:t>
      </w:r>
      <w:r w:rsidR="002A49C1">
        <w:t>.</w:t>
      </w:r>
      <w:r>
        <w:t xml:space="preserve"> Further, as the lookback</w:t>
      </w:r>
      <w:r w:rsidR="00EC1646">
        <w:t xml:space="preserve"> period increases, it is clear that Sharpe ratios decrease dramatically</w:t>
      </w:r>
      <w:r w:rsidR="00B36A77">
        <w:t xml:space="preserve"> or completely fall out</w:t>
      </w:r>
      <w:r w:rsidR="00EC1646">
        <w:t>.</w:t>
      </w:r>
    </w:p>
    <w:p w14:paraId="43779E74" w14:textId="77777777" w:rsidR="002311BA" w:rsidRPr="0004030D" w:rsidRDefault="002311BA"/>
    <w:p w14:paraId="541F91A2" w14:textId="522C3F4F" w:rsidR="002311BA" w:rsidRPr="0004030D" w:rsidRDefault="00173E27" w:rsidP="002311BA">
      <w:pPr>
        <w:jc w:val="center"/>
        <w:rPr>
          <w:sz w:val="20"/>
          <w:szCs w:val="20"/>
        </w:rPr>
      </w:pPr>
      <w:r>
        <w:rPr>
          <w:sz w:val="20"/>
          <w:szCs w:val="20"/>
        </w:rPr>
        <w:t xml:space="preserve">Figure 2: </w:t>
      </w:r>
      <w:r w:rsidR="002311BA" w:rsidRPr="0004030D">
        <w:rPr>
          <w:sz w:val="20"/>
          <w:szCs w:val="20"/>
        </w:rPr>
        <w:t xml:space="preserve">Heatmap </w:t>
      </w:r>
      <w:r>
        <w:rPr>
          <w:sz w:val="20"/>
          <w:szCs w:val="20"/>
        </w:rPr>
        <w:t>of Sharpe ratios</w:t>
      </w:r>
      <w:r w:rsidR="00AB6366">
        <w:rPr>
          <w:sz w:val="20"/>
          <w:szCs w:val="20"/>
        </w:rPr>
        <w:t xml:space="preserve"> for different lookback and</w:t>
      </w:r>
      <w:r w:rsidR="002311BA" w:rsidRPr="0004030D">
        <w:rPr>
          <w:sz w:val="20"/>
          <w:szCs w:val="20"/>
        </w:rPr>
        <w:t xml:space="preserve"> holding period </w:t>
      </w:r>
      <w:r>
        <w:rPr>
          <w:sz w:val="20"/>
          <w:szCs w:val="20"/>
        </w:rPr>
        <w:t>combinations</w:t>
      </w:r>
      <w:r w:rsidR="002311BA" w:rsidRPr="0004030D">
        <w:rPr>
          <w:sz w:val="20"/>
          <w:szCs w:val="20"/>
        </w:rPr>
        <w:t>.</w:t>
      </w:r>
    </w:p>
    <w:p w14:paraId="196BDDB6" w14:textId="76E95895" w:rsidR="00023114" w:rsidRDefault="007D70AA" w:rsidP="00AB6366">
      <w:pPr>
        <w:jc w:val="center"/>
        <w:rPr>
          <w:sz w:val="20"/>
          <w:szCs w:val="20"/>
        </w:rPr>
      </w:pPr>
      <w:r>
        <w:rPr>
          <w:noProof/>
          <w:sz w:val="20"/>
          <w:szCs w:val="20"/>
        </w:rPr>
        <w:drawing>
          <wp:inline distT="0" distB="0" distL="0" distR="0" wp14:anchorId="70F849A2" wp14:editId="1B0BDE05">
            <wp:extent cx="5422360" cy="5618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png"/>
                    <pic:cNvPicPr/>
                  </pic:nvPicPr>
                  <pic:blipFill>
                    <a:blip r:embed="rId9">
                      <a:extLst>
                        <a:ext uri="{28A0092B-C50C-407E-A947-70E740481C1C}">
                          <a14:useLocalDpi xmlns:a14="http://schemas.microsoft.com/office/drawing/2010/main" val="0"/>
                        </a:ext>
                      </a:extLst>
                    </a:blip>
                    <a:stretch>
                      <a:fillRect/>
                    </a:stretch>
                  </pic:blipFill>
                  <pic:spPr>
                    <a:xfrm>
                      <a:off x="0" y="0"/>
                      <a:ext cx="5428022" cy="5624614"/>
                    </a:xfrm>
                    <a:prstGeom prst="rect">
                      <a:avLst/>
                    </a:prstGeom>
                  </pic:spPr>
                </pic:pic>
              </a:graphicData>
            </a:graphic>
          </wp:inline>
        </w:drawing>
      </w:r>
    </w:p>
    <w:p w14:paraId="65247310" w14:textId="77777777" w:rsidR="00AB6366" w:rsidRDefault="00AB6366">
      <w:pPr>
        <w:rPr>
          <w:color w:val="FF0000"/>
        </w:rPr>
      </w:pPr>
    </w:p>
    <w:p w14:paraId="425F0F58" w14:textId="77777777" w:rsidR="00AB6366" w:rsidRDefault="00AB6366">
      <w:pPr>
        <w:rPr>
          <w:color w:val="FF0000"/>
        </w:rPr>
      </w:pPr>
    </w:p>
    <w:p w14:paraId="53DC7756" w14:textId="105B5868" w:rsidR="00AB6366" w:rsidRPr="00CE407E" w:rsidRDefault="00AB6366">
      <w:pPr>
        <w:rPr>
          <w:color w:val="000000" w:themeColor="text1"/>
        </w:rPr>
      </w:pPr>
      <w:r w:rsidRPr="00CE407E">
        <w:rPr>
          <w:color w:val="000000" w:themeColor="text1"/>
        </w:rPr>
        <w:t>Given empirical examination</w:t>
      </w:r>
      <w:r w:rsidR="006C501D">
        <w:rPr>
          <w:color w:val="000000" w:themeColor="text1"/>
        </w:rPr>
        <w:t xml:space="preserve"> and visualization</w:t>
      </w:r>
      <w:r w:rsidRPr="00CE407E">
        <w:rPr>
          <w:color w:val="000000" w:themeColor="text1"/>
        </w:rPr>
        <w:t xml:space="preserve"> shows longer lookback periods do not perform as well from a risk adjusted return standpoint, we consi</w:t>
      </w:r>
      <w:r w:rsidR="00A47A74">
        <w:rPr>
          <w:color w:val="000000" w:themeColor="text1"/>
        </w:rPr>
        <w:t>der formal comparisons of short-</w:t>
      </w:r>
      <w:r w:rsidRPr="00CE407E">
        <w:rPr>
          <w:color w:val="000000" w:themeColor="text1"/>
        </w:rPr>
        <w:t>term and intermediate term lookback periods using a Kruskal-Wallis test. Res</w:t>
      </w:r>
      <w:r w:rsidR="009B5CEE">
        <w:rPr>
          <w:color w:val="000000" w:themeColor="text1"/>
        </w:rPr>
        <w:t>ults bear out (p &lt; 0.00</w:t>
      </w:r>
      <w:r w:rsidRPr="00CE407E">
        <w:rPr>
          <w:color w:val="000000" w:themeColor="text1"/>
        </w:rPr>
        <w:t xml:space="preserve">1) a significant difference between the two groups. Indeed, intermediate term </w:t>
      </w:r>
      <w:r w:rsidR="00CE407E" w:rsidRPr="00CE407E">
        <w:rPr>
          <w:color w:val="000000" w:themeColor="text1"/>
        </w:rPr>
        <w:t xml:space="preserve">lookback period </w:t>
      </w:r>
      <w:r w:rsidRPr="00CE407E">
        <w:rPr>
          <w:color w:val="000000" w:themeColor="text1"/>
        </w:rPr>
        <w:t xml:space="preserve">strategies of </w:t>
      </w:r>
      <w:r w:rsidR="00CE407E" w:rsidRPr="00CE407E">
        <w:rPr>
          <w:color w:val="000000" w:themeColor="text1"/>
        </w:rPr>
        <w:t xml:space="preserve">40 business days to 360 business days produce a median Sharpe ratio of 0.72, while short term lookback period strategies of 30 days and less produce a median Sharpe ratio of 0.18.  </w:t>
      </w:r>
    </w:p>
    <w:p w14:paraId="4F51DB64" w14:textId="77777777" w:rsidR="00CE407E" w:rsidRDefault="00CE407E">
      <w:pPr>
        <w:rPr>
          <w:sz w:val="20"/>
          <w:szCs w:val="20"/>
        </w:rPr>
      </w:pPr>
    </w:p>
    <w:p w14:paraId="6DDFA826" w14:textId="05F93C59" w:rsidR="002311BA" w:rsidRPr="00C23009" w:rsidRDefault="00BD6373">
      <w:r>
        <w:t>In</w:t>
      </w:r>
      <w:r w:rsidR="00CE407E">
        <w:t xml:space="preserve"> addition, t</w:t>
      </w:r>
      <w:r w:rsidR="00807977">
        <w:t>he portfolio’</w:t>
      </w:r>
      <w:r w:rsidR="00CE407E">
        <w:t>s performance was also compared to</w:t>
      </w:r>
      <w:r w:rsidR="00234323" w:rsidRPr="00C23009">
        <w:t xml:space="preserve"> the performance of</w:t>
      </w:r>
      <w:r w:rsidR="00CE407E">
        <w:t xml:space="preserve"> the S&amp;P 500.</w:t>
      </w:r>
      <w:r w:rsidR="00234323" w:rsidRPr="00C23009">
        <w:t xml:space="preserve"> </w:t>
      </w:r>
      <w:r w:rsidR="00807977">
        <w:t xml:space="preserve">The </w:t>
      </w:r>
      <w:r w:rsidR="00CE407E">
        <w:t xml:space="preserve">S&amp;P 500 </w:t>
      </w:r>
      <w:r w:rsidR="00234323" w:rsidRPr="00C23009">
        <w:t>returned a</w:t>
      </w:r>
      <w:r w:rsidR="00CE407E">
        <w:t xml:space="preserve"> Sharpe</w:t>
      </w:r>
      <w:r w:rsidR="00A47A74">
        <w:t xml:space="preserve"> ratio of 2.52</w:t>
      </w:r>
      <w:r w:rsidR="00807977">
        <w:t xml:space="preserve"> during the same time period</w:t>
      </w:r>
      <w:r w:rsidR="00234323" w:rsidRPr="00C23009">
        <w:t xml:space="preserve">.  This shows that </w:t>
      </w:r>
      <w:r w:rsidR="00CE407E">
        <w:t>given an intermediate lookback period, momentum-based investing can significantly outperform</w:t>
      </w:r>
      <w:r w:rsidR="00234323" w:rsidRPr="00C23009">
        <w:t xml:space="preserve"> S&amp;P 500 over the 18-months between January 2016 and June 2017.  </w:t>
      </w:r>
    </w:p>
    <w:p w14:paraId="5CB1138A" w14:textId="70822180" w:rsidR="005707E4" w:rsidRDefault="002311BA">
      <w:pPr>
        <w:rPr>
          <w:sz w:val="20"/>
          <w:szCs w:val="20"/>
        </w:rPr>
      </w:pPr>
      <w:r>
        <w:rPr>
          <w:sz w:val="20"/>
          <w:szCs w:val="20"/>
        </w:rPr>
        <w:t xml:space="preserve"> </w:t>
      </w:r>
    </w:p>
    <w:p w14:paraId="19AB8DF8" w14:textId="75E5437A" w:rsidR="00377FB1" w:rsidRPr="00377FB1" w:rsidRDefault="00C3158A" w:rsidP="00377FB1">
      <w:pPr>
        <w:pStyle w:val="Heading2"/>
        <w:rPr>
          <w:b/>
          <w:sz w:val="26"/>
          <w:szCs w:val="26"/>
        </w:rPr>
      </w:pPr>
      <w:bookmarkStart w:id="2" w:name="_tmz2fzwiay9p" w:colFirst="0" w:colLast="0"/>
      <w:bookmarkEnd w:id="2"/>
      <w:r w:rsidRPr="002876F8">
        <w:rPr>
          <w:b/>
          <w:sz w:val="26"/>
          <w:szCs w:val="26"/>
        </w:rPr>
        <w:t>Future Work, Discussion Conclusions, and Next Steps</w:t>
      </w:r>
    </w:p>
    <w:p w14:paraId="2D8BCA43" w14:textId="6743BD3F" w:rsidR="006C501D" w:rsidRDefault="0005395E" w:rsidP="00234323">
      <w:r>
        <w:t>Based on</w:t>
      </w:r>
      <w:r w:rsidR="00764ACD">
        <w:t xml:space="preserve"> the results of our c</w:t>
      </w:r>
      <w:r w:rsidR="00180018">
        <w:t>ase, we confirm that given</w:t>
      </w:r>
      <w:r w:rsidR="00764ACD">
        <w:t xml:space="preserve"> a </w:t>
      </w:r>
      <w:r w:rsidR="00E43C94">
        <w:t>high-</w:t>
      </w:r>
      <w:r w:rsidR="00764ACD">
        <w:t xml:space="preserve">growth portfolio, the same empirical results </w:t>
      </w:r>
      <w:r w:rsidR="003D550D">
        <w:t>from Titman and Jegadeesh [2]</w:t>
      </w:r>
      <w:r w:rsidR="00764ACD">
        <w:t xml:space="preserve"> are confirmed. Intermediate term lookback periods produce higher risk adjusted returns</w:t>
      </w:r>
      <w:r w:rsidR="00973189">
        <w:t xml:space="preserve"> in general. Additionally, it is observed that in the case of momentum-based investing, intermediate term holding periods betwee</w:t>
      </w:r>
      <w:r w:rsidR="00B36A77">
        <w:t>n 70 and 120 days also perform</w:t>
      </w:r>
      <w:r w:rsidR="00973189">
        <w:t xml:space="preserve"> well. </w:t>
      </w:r>
      <w:r w:rsidR="00B36A77">
        <w:t>Thus, it can be recommended to continue with empirically</w:t>
      </w:r>
      <w:r w:rsidR="00A47A74">
        <w:t xml:space="preserve"> confirmed parameter range</w:t>
      </w:r>
      <w:r w:rsidR="00B36A77">
        <w:t>s when considering high growth portfolios and a momentum-based investing strategy.</w:t>
      </w:r>
    </w:p>
    <w:p w14:paraId="66DB40DB" w14:textId="77777777" w:rsidR="006C501D" w:rsidRDefault="006C501D" w:rsidP="00234323"/>
    <w:p w14:paraId="6BFEC78D" w14:textId="23CD82E0" w:rsidR="00234323" w:rsidRPr="000A3D5C" w:rsidRDefault="00234323" w:rsidP="00234323">
      <w:r w:rsidRPr="000A3D5C">
        <w:t>The obligations of the financial industry to their customer – the end investor – have become strengthened over the last several decades.  The most recent major change implemented was in July 2017 with full enactment in January 2018, was the “Fiduciary Standard” that required advisors to put the goals and objectives of their cust</w:t>
      </w:r>
      <w:r w:rsidR="00B21673">
        <w:t>omers ahead of their own goals [8]</w:t>
      </w:r>
      <w:r w:rsidRPr="000A3D5C">
        <w:t>.  In simple terms, while the financial advisor may have been paid on commissions earned through active trading, or through sales of financial instruments to the customer it could open a conflict of interest, because the specific trades or financial instruments sold, may in a broader view detrimental to the customer’s end goals for investing.</w:t>
      </w:r>
    </w:p>
    <w:p w14:paraId="67BB5E61" w14:textId="77777777" w:rsidR="00234323" w:rsidRPr="000A3D5C" w:rsidRDefault="00234323" w:rsidP="00234323"/>
    <w:p w14:paraId="70201470" w14:textId="77777777" w:rsidR="00234323" w:rsidRPr="000A3D5C" w:rsidRDefault="00234323" w:rsidP="00234323">
      <w:r w:rsidRPr="000A3D5C">
        <w:t>This standard introduces a need for transparency of purpose, documentation, and most likely, better planning on the part of the financial advisor or the financial advisor’s firm to meet a potential future legal challenge from a disgruntled investor.  A series of unfortunately timed trades that caused losses for the investor, but that the advisor may still have earned a commission from, could be seen by the investor as a self-motivated trade without benefit to the investor.</w:t>
      </w:r>
    </w:p>
    <w:p w14:paraId="283A6276" w14:textId="1A209C7D" w:rsidR="00234323" w:rsidRPr="000A3D5C" w:rsidRDefault="00234323" w:rsidP="00234323">
      <w:r w:rsidRPr="000A3D5C">
        <w:t xml:space="preserve">  </w:t>
      </w:r>
    </w:p>
    <w:p w14:paraId="62E0149E" w14:textId="21C8BBA7" w:rsidR="00234323" w:rsidRPr="000A3D5C" w:rsidRDefault="00234323" w:rsidP="00234323">
      <w:r w:rsidRPr="000A3D5C">
        <w:lastRenderedPageBreak/>
        <w:t xml:space="preserve">Sitkoff </w:t>
      </w:r>
      <w:r w:rsidR="000A3D5C">
        <w:t>[</w:t>
      </w:r>
      <w:r w:rsidR="0004030D" w:rsidRPr="000A3D5C">
        <w:t>9</w:t>
      </w:r>
      <w:r w:rsidR="000A3D5C">
        <w:t>]</w:t>
      </w:r>
      <w:r w:rsidRPr="000A3D5C">
        <w:t xml:space="preserve"> spoke about financial advisors’ obligations under earlier law, noting that deterrence is the largest effect of fiduciary responsibility.  Advisors should be deterred from making decisions in their own self-interest, and not in the interest of their customers, because of the possible consequences after the fact.  The advisor should act out of loyalty and concern for their customer.</w:t>
      </w:r>
    </w:p>
    <w:p w14:paraId="0598AD83" w14:textId="77777777" w:rsidR="00234323" w:rsidRPr="000A3D5C" w:rsidRDefault="00234323" w:rsidP="00234323"/>
    <w:p w14:paraId="4983E3BD" w14:textId="68007BE2" w:rsidR="00234323" w:rsidRPr="000A3D5C" w:rsidRDefault="00234323" w:rsidP="00234323">
      <w:r w:rsidRPr="000A3D5C">
        <w:t xml:space="preserve">Reish </w:t>
      </w:r>
      <w:r w:rsidR="000A3D5C">
        <w:t>[</w:t>
      </w:r>
      <w:r w:rsidR="0004030D" w:rsidRPr="000A3D5C">
        <w:t>10</w:t>
      </w:r>
      <w:r w:rsidR="000A3D5C">
        <w:t>]</w:t>
      </w:r>
      <w:r w:rsidRPr="000A3D5C">
        <w:t xml:space="preserve"> cites parts of the standard for fiduciaries and their recordkeepers, calling on fiduciaries to craft specific investment alternatives that fit the standards of their program.  We think that in view of the new laws of financial advising, many new data-driven decisions will be born out of a need for transparency and reproducibility, given the financial market’s current standing and the data available to the advisor on a given day.</w:t>
      </w:r>
    </w:p>
    <w:p w14:paraId="71333D49" w14:textId="77777777" w:rsidR="00234323" w:rsidRPr="000A3D5C" w:rsidRDefault="00234323" w:rsidP="00234323"/>
    <w:p w14:paraId="63C4AA8A" w14:textId="2C6662FF" w:rsidR="00234323" w:rsidRPr="000A3D5C" w:rsidRDefault="00234323" w:rsidP="00234323">
      <w:r w:rsidRPr="000A3D5C">
        <w:t xml:space="preserve">The employment of specific strategy driven algorithms, like the momentum or mean regression algorithms cited </w:t>
      </w:r>
      <w:r w:rsidRPr="00B21673">
        <w:rPr>
          <w:color w:val="000000" w:themeColor="text1"/>
        </w:rPr>
        <w:t xml:space="preserve">in McKinney </w:t>
      </w:r>
      <w:r w:rsidR="000A3D5C" w:rsidRPr="00B21673">
        <w:rPr>
          <w:color w:val="000000" w:themeColor="text1"/>
        </w:rPr>
        <w:t>[</w:t>
      </w:r>
      <w:r w:rsidR="00B21673" w:rsidRPr="00B21673">
        <w:rPr>
          <w:color w:val="000000" w:themeColor="text1"/>
        </w:rPr>
        <w:t>6</w:t>
      </w:r>
      <w:r w:rsidR="000A3D5C" w:rsidRPr="00B21673">
        <w:rPr>
          <w:color w:val="000000" w:themeColor="text1"/>
        </w:rPr>
        <w:t>]</w:t>
      </w:r>
      <w:r w:rsidRPr="00B21673">
        <w:rPr>
          <w:color w:val="000000" w:themeColor="text1"/>
        </w:rPr>
        <w:t xml:space="preserve"> would </w:t>
      </w:r>
      <w:r w:rsidRPr="000A3D5C">
        <w:t>offer an advisor a framework for allocation of funds, given an investor’s agreed upon goal, and produce a suggested mix of securities to achieve the best possible return.  As information in the market changes, the model could follow and update the mix of securities periodically to manage for the best possible returns.</w:t>
      </w:r>
    </w:p>
    <w:p w14:paraId="37C48B22" w14:textId="77777777" w:rsidR="00234323" w:rsidRPr="000A3D5C" w:rsidRDefault="00234323" w:rsidP="00234323"/>
    <w:p w14:paraId="0ACF6B05" w14:textId="0A1A57A5" w:rsidR="00234323" w:rsidRPr="000A3D5C" w:rsidRDefault="00234323" w:rsidP="00234323">
      <w:r w:rsidRPr="000A3D5C">
        <w:t>The model presented in this paper, the momentum investing strategy, certainly is a simplistic approach to investment management and encompasses only one aspect of the investment management.  It could become part of a larger ecosystem devised by an investment firm with the goals of compliance to the regulatory burden imposed by the fiduciary responsibility laws.</w:t>
      </w:r>
    </w:p>
    <w:p w14:paraId="2FA10293" w14:textId="77777777" w:rsidR="00234323" w:rsidRPr="000A3D5C" w:rsidRDefault="00234323" w:rsidP="00234323"/>
    <w:p w14:paraId="52494E18" w14:textId="52AFA188" w:rsidR="00234323" w:rsidRPr="000A3D5C" w:rsidRDefault="00234323" w:rsidP="00234323">
      <w:r w:rsidRPr="000A3D5C">
        <w:t xml:space="preserve">One could imagine each interaction between customer and advisor is captured in a detailed set of data that speaks to the customer’s financial planning horizon, their final financial goals, and specific requests that are made during the session.  Based on the inputs, the advisor would be provided a best-fit for portfolio, with ability to make specific modifications and record cause for modification.  Thus, the investment firm is guiding decisions made by the individual advisors to be in the best interest, with the </w:t>
      </w:r>
      <w:r w:rsidR="000A3D5C" w:rsidRPr="000A3D5C">
        <w:t>best-known</w:t>
      </w:r>
      <w:r w:rsidRPr="000A3D5C">
        <w:t xml:space="preserve"> information, about the market at any point in time.</w:t>
      </w:r>
    </w:p>
    <w:p w14:paraId="63DBE469" w14:textId="77777777" w:rsidR="00234323" w:rsidRPr="000A3D5C" w:rsidRDefault="00234323" w:rsidP="00234323"/>
    <w:p w14:paraId="6145E029" w14:textId="77777777" w:rsidR="00234323" w:rsidRDefault="00234323" w:rsidP="00234323">
      <w:r w:rsidRPr="000A3D5C">
        <w:t>While financial planning often talks of risk, the investment firm and advisors have increased responsibilities, and it could be said, risk with the fiduciary responsibility laws.  Mitigation of these risks is likely an objective for any firm in the trade.  While good ethics is the baseline way to begin mitigating this risk, there still exists many cases where the advisor’s decisions could be called into question.</w:t>
      </w:r>
    </w:p>
    <w:p w14:paraId="6EF0AE25" w14:textId="77777777" w:rsidR="00B21673" w:rsidRPr="000A3D5C" w:rsidRDefault="00B21673" w:rsidP="00234323"/>
    <w:p w14:paraId="50B55EE2" w14:textId="463AC99F" w:rsidR="00234323" w:rsidRDefault="00234323" w:rsidP="00234323">
      <w:r w:rsidRPr="000A3D5C">
        <w:t>The fiduciary rules allow class action lawsuits to be brought against financial advisors for failing to act in their clients’ best interests.  One could imagine that the financial risk to a firm could reach a similar level to Citigroup’s settlement from the 2007 subprime crisis - $590 Million dollars to members of a class-action suit for allegedly misleading the investors.  Ameriprise Financial paid a $27 million dollar</w:t>
      </w:r>
      <w:r w:rsidR="000A3D5C">
        <w:t>s</w:t>
      </w:r>
      <w:r w:rsidRPr="000A3D5C">
        <w:t xml:space="preserve"> settlement to the members of a class-action lawsuit, for breaking fiduciary responsibilities.  Moving towards a rules and data driven system of financial </w:t>
      </w:r>
      <w:r w:rsidRPr="000A3D5C">
        <w:lastRenderedPageBreak/>
        <w:t xml:space="preserve">advisement may be a strategy to improve impartiality of the </w:t>
      </w:r>
      <w:r w:rsidR="000A3D5C" w:rsidRPr="000A3D5C">
        <w:t>advisor and</w:t>
      </w:r>
      <w:r w:rsidRPr="000A3D5C">
        <w:t xml:space="preserve"> reduce exposure to the risk of lawsuits from disgruntled investors.</w:t>
      </w:r>
    </w:p>
    <w:p w14:paraId="06A6E422" w14:textId="77777777" w:rsidR="002B3CE6" w:rsidRDefault="002B3CE6" w:rsidP="00234323"/>
    <w:p w14:paraId="4B8A8FA4" w14:textId="77777777" w:rsidR="002B3CE6" w:rsidRDefault="002B3CE6" w:rsidP="00234323"/>
    <w:p w14:paraId="1DB575A0" w14:textId="77777777" w:rsidR="002B3CE6" w:rsidRDefault="002B3CE6" w:rsidP="00234323"/>
    <w:p w14:paraId="556E35F1" w14:textId="77777777" w:rsidR="002B3CE6" w:rsidRDefault="002B3CE6" w:rsidP="00234323"/>
    <w:p w14:paraId="00184EF3" w14:textId="77777777" w:rsidR="002B3CE6" w:rsidRDefault="002B3CE6" w:rsidP="00234323"/>
    <w:p w14:paraId="3F995F13" w14:textId="77777777" w:rsidR="002B3CE6" w:rsidRDefault="002B3CE6" w:rsidP="00234323"/>
    <w:p w14:paraId="79E1287A" w14:textId="77777777" w:rsidR="002B3CE6" w:rsidRDefault="002B3CE6" w:rsidP="00234323"/>
    <w:p w14:paraId="4DDAD039" w14:textId="77777777" w:rsidR="002B3CE6" w:rsidRDefault="002B3CE6" w:rsidP="00234323"/>
    <w:p w14:paraId="5E72F6F1" w14:textId="77777777" w:rsidR="002B3CE6" w:rsidRDefault="002B3CE6" w:rsidP="00234323"/>
    <w:p w14:paraId="7B786C64" w14:textId="77777777" w:rsidR="002B3CE6" w:rsidRDefault="002B3CE6" w:rsidP="00234323"/>
    <w:p w14:paraId="55E3274C" w14:textId="77777777" w:rsidR="002B3CE6" w:rsidRDefault="002B3CE6" w:rsidP="00234323"/>
    <w:p w14:paraId="066768E7" w14:textId="77777777" w:rsidR="002B3CE6" w:rsidRDefault="002B3CE6" w:rsidP="00234323"/>
    <w:p w14:paraId="483014AC" w14:textId="77777777" w:rsidR="002B3CE6" w:rsidRDefault="002B3CE6" w:rsidP="00234323"/>
    <w:p w14:paraId="7795F182" w14:textId="77777777" w:rsidR="002B3CE6" w:rsidRDefault="002B3CE6" w:rsidP="00234323"/>
    <w:p w14:paraId="4E5EFF10" w14:textId="77777777" w:rsidR="002B3CE6" w:rsidRDefault="002B3CE6" w:rsidP="00234323"/>
    <w:p w14:paraId="2D6BE5F3" w14:textId="77777777" w:rsidR="002B3CE6" w:rsidRDefault="002B3CE6" w:rsidP="00234323"/>
    <w:p w14:paraId="1F616CA7" w14:textId="77777777" w:rsidR="002B3CE6" w:rsidRDefault="002B3CE6" w:rsidP="00234323"/>
    <w:p w14:paraId="7792002E" w14:textId="77777777" w:rsidR="002B3CE6" w:rsidRDefault="002B3CE6" w:rsidP="00234323"/>
    <w:p w14:paraId="371DE9C9" w14:textId="77777777" w:rsidR="002B3CE6" w:rsidRDefault="002B3CE6" w:rsidP="00234323"/>
    <w:p w14:paraId="119E8E47" w14:textId="77777777" w:rsidR="002B3CE6" w:rsidRDefault="002B3CE6" w:rsidP="00234323"/>
    <w:p w14:paraId="0AC4ED7F" w14:textId="77777777" w:rsidR="002B3CE6" w:rsidRDefault="002B3CE6" w:rsidP="00234323"/>
    <w:p w14:paraId="3FD7E15A" w14:textId="77777777" w:rsidR="002B3CE6" w:rsidRDefault="002B3CE6" w:rsidP="00234323"/>
    <w:p w14:paraId="57ED06B8" w14:textId="77777777" w:rsidR="002B3CE6" w:rsidRDefault="002B3CE6" w:rsidP="00234323"/>
    <w:p w14:paraId="3B27B68F" w14:textId="77777777" w:rsidR="002B3CE6" w:rsidRDefault="002B3CE6" w:rsidP="00234323"/>
    <w:p w14:paraId="7D934D22" w14:textId="77777777" w:rsidR="002B3CE6" w:rsidRDefault="002B3CE6" w:rsidP="00234323"/>
    <w:p w14:paraId="1703129B" w14:textId="77777777" w:rsidR="002B3CE6" w:rsidRDefault="002B3CE6" w:rsidP="00234323"/>
    <w:p w14:paraId="6BED8485" w14:textId="77777777" w:rsidR="002B3CE6" w:rsidRDefault="002B3CE6" w:rsidP="00234323"/>
    <w:p w14:paraId="1201D5B6" w14:textId="77777777" w:rsidR="002B3CE6" w:rsidRDefault="002B3CE6" w:rsidP="00234323"/>
    <w:p w14:paraId="6B70501A" w14:textId="77777777" w:rsidR="002B3CE6" w:rsidRDefault="002B3CE6" w:rsidP="00234323"/>
    <w:p w14:paraId="4EBDDCFF" w14:textId="77777777" w:rsidR="002B3CE6" w:rsidRDefault="002B3CE6" w:rsidP="00234323"/>
    <w:p w14:paraId="64D3FDAC" w14:textId="77777777" w:rsidR="002B3CE6" w:rsidRDefault="002B3CE6" w:rsidP="00234323"/>
    <w:p w14:paraId="33B7A3ED" w14:textId="77777777" w:rsidR="002B3CE6" w:rsidRDefault="002B3CE6" w:rsidP="00234323"/>
    <w:p w14:paraId="271878EA" w14:textId="77777777" w:rsidR="002B3CE6" w:rsidRDefault="002B3CE6" w:rsidP="00234323"/>
    <w:p w14:paraId="70E37D39" w14:textId="77777777" w:rsidR="002B3CE6" w:rsidRDefault="002B3CE6" w:rsidP="00234323"/>
    <w:p w14:paraId="6247FA34" w14:textId="77777777" w:rsidR="002B3CE6" w:rsidRDefault="002B3CE6" w:rsidP="00234323"/>
    <w:p w14:paraId="7E567886" w14:textId="77777777" w:rsidR="002B3CE6" w:rsidRDefault="002B3CE6" w:rsidP="00234323"/>
    <w:p w14:paraId="707EC239" w14:textId="77777777" w:rsidR="002B3CE6" w:rsidRDefault="002B3CE6" w:rsidP="00234323"/>
    <w:p w14:paraId="49EDE9DC" w14:textId="77777777" w:rsidR="002B3CE6" w:rsidRPr="000A3D5C" w:rsidRDefault="002B3CE6" w:rsidP="00234323"/>
    <w:p w14:paraId="4AAB5B5C" w14:textId="77777777" w:rsidR="0097403E" w:rsidRPr="0097403E" w:rsidRDefault="00C3158A" w:rsidP="0097403E">
      <w:pPr>
        <w:pStyle w:val="Heading2"/>
        <w:rPr>
          <w:b/>
          <w:sz w:val="26"/>
          <w:szCs w:val="26"/>
        </w:rPr>
      </w:pPr>
      <w:bookmarkStart w:id="3" w:name="_cggleg86nm01" w:colFirst="0" w:colLast="0"/>
      <w:bookmarkEnd w:id="3"/>
      <w:r w:rsidRPr="0097403E">
        <w:rPr>
          <w:b/>
          <w:sz w:val="26"/>
          <w:szCs w:val="26"/>
        </w:rPr>
        <w:lastRenderedPageBreak/>
        <w:t>References</w:t>
      </w:r>
    </w:p>
    <w:p w14:paraId="42D6985A" w14:textId="77777777" w:rsidR="00A10E72" w:rsidRPr="006D0C07" w:rsidRDefault="0008532F" w:rsidP="00A10E72">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t xml:space="preserve">Shitoshna, N. “Signal Processing in Finance.” </w:t>
      </w:r>
      <w:r w:rsidRPr="006D0C07">
        <w:rPr>
          <w:i/>
        </w:rPr>
        <w:t xml:space="preserve">Electrical and Computer Engineering Design Handbook. </w:t>
      </w:r>
      <w:r w:rsidRPr="006D0C07">
        <w:t xml:space="preserve">Tufts University. 2013. </w:t>
      </w:r>
      <w:r w:rsidRPr="006D0C07">
        <w:rPr>
          <w:rFonts w:eastAsia="Times New Roman"/>
          <w:color w:val="000000" w:themeColor="text1"/>
          <w:lang w:val="en-US"/>
        </w:rPr>
        <w:t>sites.tufts</w:t>
      </w:r>
      <w:r w:rsidRPr="006D0C07">
        <w:rPr>
          <w:rFonts w:eastAsia="Times New Roman"/>
          <w:color w:val="000000" w:themeColor="text1"/>
          <w:lang w:val="en-US"/>
        </w:rPr>
        <w:t>.</w:t>
      </w:r>
      <w:r w:rsidRPr="006D0C07">
        <w:rPr>
          <w:rFonts w:eastAsia="Times New Roman"/>
          <w:color w:val="000000" w:themeColor="text1"/>
          <w:lang w:val="en-US"/>
        </w:rPr>
        <w:t>edu/eeseniordesignhandbook/2015/signal-processing-in-finance</w:t>
      </w:r>
    </w:p>
    <w:p w14:paraId="2A82AE18" w14:textId="3B48E0B7" w:rsidR="00A10E72" w:rsidRPr="006D0C07" w:rsidRDefault="005B0440" w:rsidP="00A10E72">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Jagdeesh</w:t>
      </w:r>
      <w:r w:rsidRPr="006D0C07">
        <w:rPr>
          <w:rFonts w:eastAsia="Times New Roman"/>
          <w:lang w:val="en-US"/>
        </w:rPr>
        <w:t xml:space="preserve"> N.,</w:t>
      </w:r>
      <w:r w:rsidR="00254E1E" w:rsidRPr="006D0C07">
        <w:rPr>
          <w:rFonts w:eastAsia="Times New Roman"/>
          <w:lang w:val="en-US"/>
        </w:rPr>
        <w:t xml:space="preserve"> Titman</w:t>
      </w:r>
      <w:r w:rsidRPr="006D0C07">
        <w:rPr>
          <w:rFonts w:eastAsia="Times New Roman"/>
          <w:lang w:val="en-US"/>
        </w:rPr>
        <w:t>, S.</w:t>
      </w:r>
      <w:r w:rsidR="00254E1E" w:rsidRPr="006D0C07">
        <w:rPr>
          <w:rFonts w:eastAsia="Times New Roman"/>
          <w:lang w:val="en-US"/>
        </w:rPr>
        <w:t xml:space="preserve"> “Returns to Buying Winners and Selling Losers: Implications for Stock Market Efficiency”</w:t>
      </w:r>
      <w:r w:rsidR="00A10E72" w:rsidRPr="006D0C07">
        <w:rPr>
          <w:rFonts w:eastAsia="Times New Roman"/>
          <w:lang w:val="en-US"/>
        </w:rPr>
        <w:t xml:space="preserve">. Mar. </w:t>
      </w:r>
      <w:r w:rsidRPr="006D0C07">
        <w:rPr>
          <w:rFonts w:eastAsia="Times New Roman"/>
          <w:lang w:val="en-US"/>
        </w:rPr>
        <w:t>1993.</w:t>
      </w:r>
      <w:r w:rsidR="00A10E72" w:rsidRPr="006D0C07">
        <w:rPr>
          <w:rFonts w:eastAsia="Times New Roman"/>
          <w:lang w:val="en-US"/>
        </w:rPr>
        <w:t xml:space="preserve"> </w:t>
      </w:r>
      <w:r w:rsidR="00D22EFF" w:rsidRPr="006D0C07">
        <w:rPr>
          <w:rFonts w:eastAsia="Times New Roman"/>
          <w:i/>
          <w:lang w:val="en-US"/>
        </w:rPr>
        <w:t xml:space="preserve">Wiley Online Library. </w:t>
      </w:r>
      <w:r w:rsidR="00A10E72" w:rsidRPr="006D0C07">
        <w:rPr>
          <w:rFonts w:eastAsia="Times New Roman"/>
          <w:lang w:val="en-US"/>
        </w:rPr>
        <w:t>onlinelibray.wiley.com/doi/10.1111/j.1540-6261.1993.tb04702.x/full</w:t>
      </w:r>
    </w:p>
    <w:p w14:paraId="525D6DE8" w14:textId="084BCBEB" w:rsidR="00C743AF" w:rsidRPr="006D0C07" w:rsidRDefault="005B0440" w:rsidP="00C743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color w:val="000000" w:themeColor="text1"/>
          <w:lang w:val="en-US"/>
        </w:rPr>
      </w:pPr>
      <w:r w:rsidRPr="006D0C07">
        <w:rPr>
          <w:color w:val="000000" w:themeColor="text1"/>
        </w:rPr>
        <w:t xml:space="preserve">“Momentum Investing.” </w:t>
      </w:r>
      <w:r w:rsidRPr="006D0C07">
        <w:rPr>
          <w:color w:val="000000" w:themeColor="text1"/>
        </w:rPr>
        <w:t xml:space="preserve">Investopedia. </w:t>
      </w:r>
      <w:r w:rsidR="00065D29" w:rsidRPr="006D0C07">
        <w:rPr>
          <w:rFonts w:eastAsia="Times New Roman"/>
          <w:color w:val="000000" w:themeColor="text1"/>
          <w:lang w:val="en-US"/>
        </w:rPr>
        <w:t>www.investopedia.com/te</w:t>
      </w:r>
      <w:r w:rsidR="00065D29" w:rsidRPr="006D0C07">
        <w:rPr>
          <w:rFonts w:eastAsia="Times New Roman"/>
          <w:color w:val="000000" w:themeColor="text1"/>
          <w:lang w:val="en-US"/>
        </w:rPr>
        <w:t>r</w:t>
      </w:r>
      <w:r w:rsidR="00065D29" w:rsidRPr="006D0C07">
        <w:rPr>
          <w:rFonts w:eastAsia="Times New Roman"/>
          <w:color w:val="000000" w:themeColor="text1"/>
          <w:lang w:val="en-US"/>
        </w:rPr>
        <w:t>ms/m/momentum_investing.asp</w:t>
      </w:r>
      <w:r w:rsidR="0008532F" w:rsidRPr="006D0C07">
        <w:rPr>
          <w:rFonts w:eastAsia="Times New Roman"/>
          <w:color w:val="000000" w:themeColor="text1"/>
          <w:lang w:val="en-US"/>
        </w:rPr>
        <w:t xml:space="preserve">. </w:t>
      </w:r>
    </w:p>
    <w:p w14:paraId="56912A0E" w14:textId="3E762B3C" w:rsidR="00536E94" w:rsidRPr="006D0C07" w:rsidRDefault="00536E94" w:rsidP="00C743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Jagdeesh, </w:t>
      </w:r>
      <w:r w:rsidR="005B0440" w:rsidRPr="006D0C07">
        <w:rPr>
          <w:rFonts w:eastAsia="Times New Roman"/>
          <w:lang w:val="en-US"/>
        </w:rPr>
        <w:t>N.</w:t>
      </w:r>
      <w:r w:rsidRPr="006D0C07">
        <w:rPr>
          <w:rFonts w:eastAsia="Times New Roman"/>
          <w:lang w:val="en-US"/>
        </w:rPr>
        <w:t xml:space="preserve"> </w:t>
      </w:r>
      <w:r w:rsidR="005B0440" w:rsidRPr="006D0C07">
        <w:rPr>
          <w:rFonts w:eastAsia="Times New Roman"/>
          <w:lang w:val="en-US"/>
        </w:rPr>
        <w:t>“</w:t>
      </w:r>
      <w:r w:rsidRPr="006D0C07">
        <w:rPr>
          <w:rFonts w:eastAsia="Times New Roman"/>
          <w:lang w:val="en-US"/>
        </w:rPr>
        <w:t>Evidence of Predictab</w:t>
      </w:r>
      <w:r w:rsidR="005B0440" w:rsidRPr="006D0C07">
        <w:rPr>
          <w:rFonts w:eastAsia="Times New Roman"/>
          <w:lang w:val="en-US"/>
        </w:rPr>
        <w:t xml:space="preserve">le Behavior of Security Returns.” </w:t>
      </w:r>
      <w:r w:rsidR="00C743AF" w:rsidRPr="006D0C07">
        <w:rPr>
          <w:rFonts w:eastAsia="Times New Roman"/>
          <w:lang w:val="en-US"/>
        </w:rPr>
        <w:t>Jul</w:t>
      </w:r>
      <w:r w:rsidR="0027029D" w:rsidRPr="006D0C07">
        <w:rPr>
          <w:rFonts w:eastAsia="Times New Roman"/>
          <w:lang w:val="en-US"/>
        </w:rPr>
        <w:t xml:space="preserve"> </w:t>
      </w:r>
      <w:r w:rsidR="0008532F" w:rsidRPr="006D0C07">
        <w:rPr>
          <w:rFonts w:eastAsia="Times New Roman"/>
          <w:lang w:val="en-US"/>
        </w:rPr>
        <w:t>1990.</w:t>
      </w:r>
      <w:r w:rsidR="00C743AF" w:rsidRPr="006D0C07">
        <w:rPr>
          <w:rFonts w:eastAsia="Times New Roman"/>
          <w:lang w:val="en-US"/>
        </w:rPr>
        <w:t xml:space="preserve"> </w:t>
      </w:r>
      <w:r w:rsidR="00AF21E2" w:rsidRPr="006D0C07">
        <w:rPr>
          <w:rFonts w:eastAsia="Times New Roman"/>
          <w:i/>
          <w:lang w:val="en-US"/>
        </w:rPr>
        <w:t xml:space="preserve">Wiley Online Library. </w:t>
      </w:r>
      <w:r w:rsidR="00C743AF" w:rsidRPr="006D0C07">
        <w:rPr>
          <w:rFonts w:eastAsia="Times New Roman"/>
          <w:lang w:val="en-US"/>
        </w:rPr>
        <w:t>onlinelibrary.wiley.com/doi/10.1111/j.1540-6261.1990.tb05110.x/full</w:t>
      </w:r>
      <w:r w:rsidR="00037D99" w:rsidRPr="006D0C07">
        <w:rPr>
          <w:rFonts w:eastAsia="Times New Roman"/>
          <w:lang w:val="en-US"/>
        </w:rPr>
        <w:t>.</w:t>
      </w:r>
    </w:p>
    <w:p w14:paraId="4C1E5A91" w14:textId="40DDFE95" w:rsidR="00F1515D" w:rsidRPr="006D0C07" w:rsidRDefault="00AD535D" w:rsidP="00F1515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Style w:val="Hyperlink"/>
          <w:rFonts w:eastAsia="Times New Roman"/>
          <w:color w:val="000000"/>
          <w:u w:val="none"/>
          <w:lang w:val="en-US"/>
        </w:rPr>
      </w:pPr>
      <w:r w:rsidRPr="006D0C07">
        <w:t xml:space="preserve">Quantstart Team. </w:t>
      </w:r>
      <w:r w:rsidR="005B0440" w:rsidRPr="006D0C07">
        <w:t xml:space="preserve">“Sharpe Ratio for Algorithmic Trading Performance Measurement.” </w:t>
      </w:r>
      <w:r w:rsidR="005B0440" w:rsidRPr="006D0C07">
        <w:rPr>
          <w:i/>
        </w:rPr>
        <w:t>Quantstart.</w:t>
      </w:r>
      <w:r w:rsidR="00554274" w:rsidRPr="006D0C07">
        <w:rPr>
          <w:i/>
        </w:rPr>
        <w:t xml:space="preserve"> </w:t>
      </w:r>
      <w:r w:rsidR="00E344EF">
        <w:t>29</w:t>
      </w:r>
      <w:r w:rsidR="00554274" w:rsidRPr="006D0C07">
        <w:t xml:space="preserve"> May</w:t>
      </w:r>
      <w:r w:rsidR="00E344EF">
        <w:t>,</w:t>
      </w:r>
      <w:r w:rsidR="00554274" w:rsidRPr="006D0C07">
        <w:t xml:space="preserve"> 2013.</w:t>
      </w:r>
      <w:r w:rsidR="005B0440" w:rsidRPr="006D0C07">
        <w:t xml:space="preserve"> </w:t>
      </w:r>
      <w:r w:rsidR="00E31F4E" w:rsidRPr="006D0C07">
        <w:rPr>
          <w:rFonts w:eastAsia="Times New Roman"/>
          <w:lang w:val="en-US"/>
        </w:rPr>
        <w:t>www.quantstart.com/articles/Sharpe-Ratio-for-Algorithmic-Trading-Performance-Measurement</w:t>
      </w:r>
      <w:r w:rsidR="0099446C" w:rsidRPr="006D0C07">
        <w:rPr>
          <w:rStyle w:val="Hyperlink"/>
          <w:rFonts w:eastAsia="Times New Roman"/>
          <w:lang w:val="en-US"/>
        </w:rPr>
        <w:t>.</w:t>
      </w:r>
    </w:p>
    <w:p w14:paraId="0E6EA09B" w14:textId="77777777" w:rsidR="00CE40CD" w:rsidRPr="006D0C07" w:rsidRDefault="003B0C2C" w:rsidP="00CE40C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shd w:val="clear" w:color="auto" w:fill="FFFFFF"/>
          <w:lang w:val="en-US"/>
        </w:rPr>
        <w:t xml:space="preserve">McKinney, W. </w:t>
      </w:r>
      <w:r w:rsidRPr="006D0C07">
        <w:rPr>
          <w:i/>
          <w:shd w:val="clear" w:color="auto" w:fill="FFFFFF"/>
        </w:rPr>
        <w:t>Python for Data Analysis</w:t>
      </w:r>
      <w:r w:rsidRPr="006D0C07">
        <w:rPr>
          <w:shd w:val="clear" w:color="auto" w:fill="FFFFFF"/>
        </w:rPr>
        <w:t xml:space="preserve"> </w:t>
      </w:r>
      <w:r w:rsidR="00F1515D" w:rsidRPr="006D0C07">
        <w:rPr>
          <w:shd w:val="clear" w:color="auto" w:fill="FFFFFF"/>
        </w:rPr>
        <w:t>pgs. 344-348</w:t>
      </w:r>
      <w:r w:rsidRPr="006D0C07">
        <w:rPr>
          <w:shd w:val="clear" w:color="auto" w:fill="FFFFFF"/>
        </w:rPr>
        <w:t xml:space="preserve">. </w:t>
      </w:r>
      <w:r w:rsidR="00793F33" w:rsidRPr="006D0C07">
        <w:rPr>
          <w:shd w:val="clear" w:color="auto" w:fill="FFFFFF"/>
        </w:rPr>
        <w:t>Wiley. 2012.</w:t>
      </w:r>
    </w:p>
    <w:p w14:paraId="295122AD" w14:textId="1FEAA72F" w:rsidR="0008532F" w:rsidRPr="006D0C07" w:rsidRDefault="0008532F" w:rsidP="00CE40C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Moskowitz, T., </w:t>
      </w:r>
      <w:r w:rsidRPr="006D0C07">
        <w:rPr>
          <w:rFonts w:eastAsia="Times New Roman"/>
          <w:lang w:val="en-US"/>
        </w:rPr>
        <w:t>Ooi, Yao, "Time Series Momentum.”</w:t>
      </w:r>
      <w:r w:rsidR="00CE40CD" w:rsidRPr="006D0C07">
        <w:rPr>
          <w:rFonts w:eastAsia="Times New Roman"/>
          <w:lang w:val="en-US"/>
        </w:rPr>
        <w:t xml:space="preserve"> </w:t>
      </w:r>
      <w:r w:rsidR="00CE40CD" w:rsidRPr="006D0C07">
        <w:rPr>
          <w:rFonts w:eastAsia="Times New Roman"/>
          <w:i/>
          <w:lang w:val="en-US"/>
        </w:rPr>
        <w:t>SSRN.</w:t>
      </w:r>
      <w:r w:rsidRPr="006D0C07">
        <w:rPr>
          <w:rFonts w:eastAsia="Times New Roman"/>
          <w:lang w:val="en-US"/>
        </w:rPr>
        <w:t xml:space="preserve"> </w:t>
      </w:r>
      <w:r w:rsidR="00E344EF">
        <w:rPr>
          <w:rFonts w:eastAsia="Times New Roman"/>
          <w:lang w:val="en-US"/>
        </w:rPr>
        <w:t>1</w:t>
      </w:r>
      <w:r w:rsidR="008562A6" w:rsidRPr="006D0C07">
        <w:rPr>
          <w:rFonts w:eastAsia="Times New Roman"/>
          <w:lang w:val="en-US"/>
        </w:rPr>
        <w:t xml:space="preserve"> Sep</w:t>
      </w:r>
      <w:r w:rsidR="00E344EF">
        <w:rPr>
          <w:rFonts w:eastAsia="Times New Roman"/>
          <w:lang w:val="en-US"/>
        </w:rPr>
        <w:t>,</w:t>
      </w:r>
      <w:r w:rsidRPr="006D0C07">
        <w:rPr>
          <w:rFonts w:eastAsia="Times New Roman"/>
          <w:lang w:val="en-US"/>
        </w:rPr>
        <w:t xml:space="preserve"> 2011.</w:t>
      </w:r>
      <w:r w:rsidR="00CE40CD" w:rsidRPr="006D0C07">
        <w:rPr>
          <w:rFonts w:eastAsia="Times New Roman"/>
          <w:lang w:val="en-US"/>
        </w:rPr>
        <w:t xml:space="preserve"> papers.ssrn.com/sol3/papers.cfm?abstract_id=2089463</w:t>
      </w:r>
      <w:r w:rsidR="0099446C" w:rsidRPr="006D0C07">
        <w:rPr>
          <w:rFonts w:eastAsia="Times New Roman"/>
          <w:lang w:val="en-US"/>
        </w:rPr>
        <w:t>.</w:t>
      </w:r>
    </w:p>
    <w:p w14:paraId="38FB4D37" w14:textId="62580DF2" w:rsidR="003B60B7" w:rsidRPr="006D0C07" w:rsidRDefault="00CD2A68" w:rsidP="003B60B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t xml:space="preserve">Bernard, T. “Obama’s Fiduciary Rule, After a Delay, Will Go Into Effect.” </w:t>
      </w:r>
      <w:r w:rsidRPr="006D0C07">
        <w:rPr>
          <w:i/>
        </w:rPr>
        <w:t xml:space="preserve">New York Times. </w:t>
      </w:r>
      <w:r w:rsidRPr="006D0C07">
        <w:t>23, May</w:t>
      </w:r>
      <w:r w:rsidR="004C68A5">
        <w:t>,</w:t>
      </w:r>
      <w:bookmarkStart w:id="4" w:name="_GoBack"/>
      <w:bookmarkEnd w:id="4"/>
      <w:r w:rsidRPr="006D0C07">
        <w:t xml:space="preserve"> 2017. </w:t>
      </w:r>
      <w:r w:rsidR="007C16A9" w:rsidRPr="006D0C07">
        <w:rPr>
          <w:rFonts w:eastAsia="Times New Roman"/>
          <w:lang w:val="en-US"/>
        </w:rPr>
        <w:t>www.nytimes.com/2017/05/23/business/obamas-fiduciary-rule-after-a-delay-will-go-into-effect.html</w:t>
      </w:r>
    </w:p>
    <w:p w14:paraId="49696297" w14:textId="408C70B8" w:rsidR="00234323" w:rsidRPr="006D0C07" w:rsidRDefault="00234323" w:rsidP="003B60B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Sitkoff, Robert H. “The Fiduciary Obligations of Financial Advisers under the Law of Agency.” </w:t>
      </w:r>
      <w:r w:rsidR="003B60B7" w:rsidRPr="006D0C07">
        <w:rPr>
          <w:rFonts w:eastAsia="Times New Roman"/>
          <w:i/>
          <w:lang w:val="en-US"/>
        </w:rPr>
        <w:t xml:space="preserve">SSRN - </w:t>
      </w:r>
      <w:r w:rsidRPr="006D0C07">
        <w:rPr>
          <w:rFonts w:eastAsia="Times New Roman"/>
          <w:i/>
          <w:lang w:val="en-US"/>
        </w:rPr>
        <w:t>Journal of Financial Planning:</w:t>
      </w:r>
      <w:r w:rsidR="00BF19DC" w:rsidRPr="006D0C07">
        <w:rPr>
          <w:rFonts w:eastAsia="Times New Roman"/>
          <w:i/>
          <w:lang w:val="en-US"/>
        </w:rPr>
        <w:t xml:space="preserve"> pgs</w:t>
      </w:r>
      <w:r w:rsidRPr="006D0C07">
        <w:rPr>
          <w:rFonts w:eastAsia="Times New Roman"/>
          <w:i/>
          <w:lang w:val="en-US"/>
        </w:rPr>
        <w:t xml:space="preserve"> 42–49</w:t>
      </w:r>
      <w:r w:rsidRPr="006D0C07">
        <w:rPr>
          <w:rFonts w:eastAsia="Times New Roman"/>
          <w:lang w:val="en-US"/>
        </w:rPr>
        <w:t>.</w:t>
      </w:r>
      <w:r w:rsidR="003B60B7" w:rsidRPr="006D0C07">
        <w:rPr>
          <w:rFonts w:eastAsia="Times New Roman"/>
          <w:lang w:val="en-US"/>
        </w:rPr>
        <w:t xml:space="preserve"> papers.ssrn.com/sol3/papers.cfm?abstract_id=2234830</w:t>
      </w:r>
    </w:p>
    <w:p w14:paraId="49092582" w14:textId="0A08D462" w:rsidR="0004030D" w:rsidRPr="006D0C07" w:rsidRDefault="00106C84" w:rsidP="0004030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Reish, F. “Interesting Angles on DOL’s Fiduciary Rule #74: One More Fiduciary Issue for Recordkeepers.” </w:t>
      </w:r>
      <w:r w:rsidR="00E72F47" w:rsidRPr="006D0C07">
        <w:rPr>
          <w:rFonts w:eastAsia="Times New Roman"/>
          <w:i/>
          <w:lang w:val="en-US"/>
        </w:rPr>
        <w:t xml:space="preserve">National Law Review. </w:t>
      </w:r>
      <w:r w:rsidR="00734A76" w:rsidRPr="006D0C07">
        <w:rPr>
          <w:rFonts w:eastAsia="Times New Roman"/>
          <w:lang w:val="en-US"/>
        </w:rPr>
        <w:t>18</w:t>
      </w:r>
      <w:r w:rsidRPr="006D0C07">
        <w:rPr>
          <w:rFonts w:eastAsia="Times New Roman"/>
          <w:lang w:val="en-US"/>
        </w:rPr>
        <w:t xml:space="preserve"> Dec</w:t>
      </w:r>
      <w:r w:rsidR="00E344EF">
        <w:rPr>
          <w:rFonts w:eastAsia="Times New Roman"/>
          <w:lang w:val="en-US"/>
        </w:rPr>
        <w:t>,</w:t>
      </w:r>
      <w:r w:rsidRPr="006D0C07">
        <w:rPr>
          <w:rFonts w:eastAsia="Times New Roman"/>
          <w:lang w:val="en-US"/>
        </w:rPr>
        <w:t xml:space="preserve"> 2017. www.natlawreview.com/article/interesting-angles-dol-s-fiduciary-rule-74-one-more-fiduciary-issue-recordkeepers</w:t>
      </w:r>
    </w:p>
    <w:p w14:paraId="63D9D0E6" w14:textId="773E5762" w:rsidR="00234323" w:rsidRPr="006D0C07" w:rsidRDefault="00734A76" w:rsidP="0004030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t xml:space="preserve">Silver-Greenberg, J. “Citigroup in $590 Million Settlement of Subprime Lawsuit.” </w:t>
      </w:r>
      <w:r w:rsidRPr="006D0C07">
        <w:rPr>
          <w:i/>
        </w:rPr>
        <w:t>New York Times.</w:t>
      </w:r>
      <w:r w:rsidR="00FD3D44" w:rsidRPr="006D0C07">
        <w:t xml:space="preserve"> 29 Aug, 2012.</w:t>
      </w:r>
      <w:r w:rsidR="00986F1D" w:rsidRPr="006D0C07">
        <w:t xml:space="preserve"> </w:t>
      </w:r>
      <w:r w:rsidR="0004030D" w:rsidRPr="006D0C07">
        <w:rPr>
          <w:rFonts w:eastAsia="Times New Roman"/>
          <w:lang w:val="en-US"/>
        </w:rPr>
        <w:t>dealbook.nytimes.com/2012/08/29/citigroup-in-590-million</w:t>
      </w:r>
      <w:r w:rsidR="001517E3" w:rsidRPr="006D0C07">
        <w:rPr>
          <w:rFonts w:eastAsia="Times New Roman"/>
          <w:lang w:val="en-US"/>
        </w:rPr>
        <w:t>-settlement-of-subprime-lawsuit</w:t>
      </w:r>
      <w:r w:rsidR="00560F62" w:rsidRPr="006D0C07">
        <w:rPr>
          <w:rFonts w:eastAsia="Times New Roman"/>
          <w:lang w:val="en-US"/>
        </w:rPr>
        <w:t>.</w:t>
      </w:r>
    </w:p>
    <w:p w14:paraId="0594F952" w14:textId="77777777" w:rsidR="00B90870" w:rsidRPr="00504196" w:rsidRDefault="00B90870" w:rsidP="00B90870">
      <w:p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p>
    <w:p w14:paraId="2ADCAD04" w14:textId="648C5E19" w:rsidR="00450997" w:rsidRDefault="00450997" w:rsidP="00B90870">
      <w:pPr>
        <w:ind w:left="480"/>
      </w:pPr>
    </w:p>
    <w:p w14:paraId="1CBC486B" w14:textId="5362C8C1" w:rsidR="005C4223" w:rsidRDefault="005C4223">
      <w:bookmarkStart w:id="5" w:name="_wlmnbnqr5itl" w:colFirst="0" w:colLast="0"/>
      <w:bookmarkEnd w:id="5"/>
    </w:p>
    <w:p w14:paraId="0FDF42B4" w14:textId="77777777" w:rsidR="00377FB1" w:rsidRDefault="00377FB1"/>
    <w:p w14:paraId="030EBEFF" w14:textId="77777777" w:rsidR="00377FB1" w:rsidRDefault="00377FB1"/>
    <w:p w14:paraId="67C1FAAD" w14:textId="77777777" w:rsidR="00377FB1" w:rsidRDefault="00377FB1"/>
    <w:p w14:paraId="17BAA7FA" w14:textId="77777777" w:rsidR="00377FB1" w:rsidRDefault="00377FB1"/>
    <w:p w14:paraId="6ECAE63A" w14:textId="77777777" w:rsidR="00377FB1" w:rsidRDefault="00377FB1"/>
    <w:p w14:paraId="78EF390D" w14:textId="77777777" w:rsidR="00377FB1" w:rsidRDefault="00377FB1"/>
    <w:p w14:paraId="0C6C9CD7" w14:textId="77777777" w:rsidR="00377FB1" w:rsidRDefault="00377FB1"/>
    <w:p w14:paraId="3DC993FC" w14:textId="77777777" w:rsidR="00377FB1" w:rsidRDefault="00377FB1"/>
    <w:p w14:paraId="793F0701" w14:textId="57098FDA" w:rsidR="00377FB1" w:rsidRPr="00377FB1" w:rsidRDefault="00377FB1">
      <w:pPr>
        <w:rPr>
          <w:b/>
          <w:sz w:val="26"/>
          <w:szCs w:val="26"/>
        </w:rPr>
      </w:pPr>
      <w:r w:rsidRPr="00377FB1">
        <w:rPr>
          <w:b/>
          <w:sz w:val="26"/>
          <w:szCs w:val="26"/>
        </w:rPr>
        <w:lastRenderedPageBreak/>
        <w:t>Appendix</w:t>
      </w:r>
    </w:p>
    <w:p w14:paraId="01FCB71D" w14:textId="77777777" w:rsidR="00377FB1" w:rsidRDefault="00377FB1"/>
    <w:p w14:paraId="24E08081" w14:textId="6E2A558C" w:rsidR="00377FB1" w:rsidRDefault="00377FB1">
      <w:r>
        <w:t xml:space="preserve">All code and explanations have been submitted in a separate Jupyter notebook entitled </w:t>
      </w:r>
      <w:r w:rsidRPr="00377FB1">
        <w:t>NicholsC_MurrayD_BataillardJ_LawJ_QTW403CaseStudyUnit4.ipynb</w:t>
      </w:r>
    </w:p>
    <w:p w14:paraId="6920C9B4" w14:textId="77777777" w:rsidR="00377FB1" w:rsidRDefault="00377FB1"/>
    <w:p w14:paraId="29E6E352" w14:textId="77777777" w:rsidR="00377FB1" w:rsidRPr="002B3CE6" w:rsidRDefault="00377FB1"/>
    <w:sectPr w:rsidR="00377FB1" w:rsidRPr="002B3CE6">
      <w:head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119A8" w14:textId="77777777" w:rsidR="006F3904" w:rsidRDefault="006F3904">
      <w:pPr>
        <w:spacing w:line="240" w:lineRule="auto"/>
      </w:pPr>
      <w:r>
        <w:separator/>
      </w:r>
    </w:p>
  </w:endnote>
  <w:endnote w:type="continuationSeparator" w:id="0">
    <w:p w14:paraId="7A08A727" w14:textId="77777777" w:rsidR="006F3904" w:rsidRDefault="006F3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59639"/>
      <w:docPartObj>
        <w:docPartGallery w:val="Page Numbers (Bottom of Page)"/>
        <w:docPartUnique/>
      </w:docPartObj>
    </w:sdtPr>
    <w:sdtContent>
      <w:p w14:paraId="48515FEF" w14:textId="26F55520" w:rsidR="00A30429" w:rsidRDefault="00A30429">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74DA329B" w14:textId="77777777" w:rsidR="00A30429" w:rsidRDefault="00A30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8CAC9" w14:textId="77777777" w:rsidR="006F3904" w:rsidRDefault="006F3904">
      <w:pPr>
        <w:spacing w:line="240" w:lineRule="auto"/>
      </w:pPr>
      <w:r>
        <w:separator/>
      </w:r>
    </w:p>
  </w:footnote>
  <w:footnote w:type="continuationSeparator" w:id="0">
    <w:p w14:paraId="3979E849" w14:textId="77777777" w:rsidR="006F3904" w:rsidRDefault="006F3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4B0" w14:textId="77777777" w:rsidR="00A30429" w:rsidRDefault="00A30429">
    <w:pPr>
      <w:pStyle w:val="Title"/>
      <w:jc w:val="center"/>
      <w:rPr>
        <w:sz w:val="36"/>
        <w:szCs w:val="36"/>
      </w:rPr>
    </w:pPr>
    <w:bookmarkStart w:id="6" w:name="_6njhkekn4i5g" w:colFirst="0" w:colLast="0"/>
    <w:bookmarkEnd w:id="6"/>
  </w:p>
  <w:p w14:paraId="6AA53215" w14:textId="5E7F42CB" w:rsidR="00A30429" w:rsidRDefault="00A30429" w:rsidP="004818A0">
    <w:pPr>
      <w:pStyle w:val="Title"/>
      <w:jc w:val="center"/>
      <w:rPr>
        <w:sz w:val="32"/>
        <w:szCs w:val="32"/>
      </w:rPr>
    </w:pPr>
    <w:r w:rsidRPr="000C4519">
      <w:rPr>
        <w:sz w:val="32"/>
        <w:szCs w:val="32"/>
      </w:rPr>
      <w:t>Signal Frontier Analysis</w:t>
    </w:r>
    <w:r>
      <w:rPr>
        <w:sz w:val="32"/>
        <w:szCs w:val="32"/>
      </w:rPr>
      <w:t>: An Empirical Exploration of Key Parameters in a High Growth Equity Portfolio</w:t>
    </w:r>
  </w:p>
  <w:p w14:paraId="26B3B6E3" w14:textId="77777777" w:rsidR="00A30429" w:rsidRDefault="00A30429" w:rsidP="00136C72">
    <w:pPr>
      <w:pStyle w:val="Title"/>
      <w:jc w:val="center"/>
      <w:rPr>
        <w:sz w:val="20"/>
        <w:szCs w:val="20"/>
      </w:rPr>
    </w:pPr>
    <w:r>
      <w:rPr>
        <w:sz w:val="20"/>
        <w:szCs w:val="20"/>
      </w:rPr>
      <w:t>Julien Bataillard, Jared Law, Cory Nichols, Dennis Murray</w:t>
    </w:r>
  </w:p>
  <w:p w14:paraId="11331123" w14:textId="77777777" w:rsidR="00A30429" w:rsidRDefault="00A304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BABB1" w14:textId="77777777" w:rsidR="00A30429" w:rsidRDefault="00A30429">
    <w:pPr>
      <w:pStyle w:val="Title"/>
      <w:jc w:val="center"/>
      <w:rPr>
        <w:sz w:val="32"/>
        <w:szCs w:val="32"/>
      </w:rPr>
    </w:pPr>
    <w:bookmarkStart w:id="7" w:name="_5wdivrqm8rsf" w:colFirst="0" w:colLast="0"/>
    <w:bookmarkEnd w:id="7"/>
  </w:p>
  <w:p w14:paraId="5236B2B1" w14:textId="2D21DD25" w:rsidR="00A30429" w:rsidRDefault="00A30429">
    <w:pPr>
      <w:pStyle w:val="Title"/>
      <w:jc w:val="center"/>
      <w:rPr>
        <w:sz w:val="32"/>
        <w:szCs w:val="32"/>
      </w:rPr>
    </w:pPr>
    <w:bookmarkStart w:id="8" w:name="_x6r76vazot8j" w:colFirst="0" w:colLast="0"/>
    <w:bookmarkEnd w:id="8"/>
    <w:r w:rsidRPr="000C4519">
      <w:rPr>
        <w:sz w:val="32"/>
        <w:szCs w:val="32"/>
      </w:rPr>
      <w:t>Signal Frontier Analysis</w:t>
    </w:r>
    <w:r>
      <w:rPr>
        <w:sz w:val="32"/>
        <w:szCs w:val="32"/>
      </w:rPr>
      <w:t xml:space="preserve">: </w:t>
    </w:r>
    <w:r w:rsidR="009D1B8C">
      <w:rPr>
        <w:sz w:val="32"/>
        <w:szCs w:val="32"/>
      </w:rPr>
      <w:t>Empirical Optimization of</w:t>
    </w:r>
    <w:r>
      <w:rPr>
        <w:sz w:val="32"/>
        <w:szCs w:val="32"/>
      </w:rPr>
      <w:t xml:space="preserve"> Parameters in a High Growth Equity Portfolio </w:t>
    </w:r>
  </w:p>
  <w:p w14:paraId="177200DA" w14:textId="77777777" w:rsidR="00A30429" w:rsidRDefault="00A30429">
    <w:pPr>
      <w:pStyle w:val="Title"/>
      <w:jc w:val="center"/>
      <w:rPr>
        <w:sz w:val="20"/>
        <w:szCs w:val="20"/>
      </w:rPr>
    </w:pPr>
    <w:r>
      <w:rPr>
        <w:sz w:val="20"/>
        <w:szCs w:val="20"/>
      </w:rPr>
      <w:t>Julien Bataillard, Jared Law, Cory Nichols, Dennis Murray</w:t>
    </w:r>
  </w:p>
  <w:p w14:paraId="0B9768CA" w14:textId="77777777" w:rsidR="00A30429" w:rsidRDefault="00A30429">
    <w:pPr>
      <w:pStyle w:val="Title"/>
      <w:jc w:val="center"/>
      <w:rPr>
        <w:sz w:val="24"/>
        <w:szCs w:val="24"/>
      </w:rPr>
    </w:pPr>
    <w:bookmarkStart w:id="9" w:name="_a6k1h4rzhezf" w:colFirst="0" w:colLast="0"/>
    <w:bookmarkEnd w:id="9"/>
    <w:r>
      <w:rPr>
        <w:sz w:val="24"/>
        <w:szCs w:val="24"/>
      </w:rPr>
      <w:t>MSDS 7333-403 - Quantifying the World - Case Study 2 (Unit 4)</w:t>
    </w:r>
  </w:p>
  <w:p w14:paraId="4A9BCCB2" w14:textId="77777777" w:rsidR="00A30429" w:rsidRDefault="00A30429">
    <w:pPr>
      <w:pStyle w:val="Title"/>
      <w:jc w:val="center"/>
      <w:rPr>
        <w:sz w:val="24"/>
        <w:szCs w:val="24"/>
      </w:rPr>
    </w:pPr>
    <w:bookmarkStart w:id="10" w:name="_v0e298epis1" w:colFirst="0" w:colLast="0"/>
    <w:bookmarkEnd w:id="10"/>
    <w:r>
      <w:rPr>
        <w:sz w:val="24"/>
        <w:szCs w:val="24"/>
      </w:rPr>
      <w:t>February 6</w:t>
    </w:r>
    <w:r w:rsidRPr="000C4519">
      <w:rPr>
        <w:sz w:val="24"/>
        <w:szCs w:val="24"/>
        <w:vertAlign w:val="superscript"/>
      </w:rPr>
      <w:t>th</w:t>
    </w:r>
    <w:r>
      <w:rPr>
        <w:sz w:val="24"/>
        <w:szCs w:val="24"/>
      </w:rPr>
      <w:t>, 2018</w:t>
    </w:r>
  </w:p>
  <w:p w14:paraId="5608B529" w14:textId="77777777" w:rsidR="00A30429" w:rsidRDefault="00A304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918A7"/>
    <w:multiLevelType w:val="multilevel"/>
    <w:tmpl w:val="C624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B4"/>
    <w:rsid w:val="00023114"/>
    <w:rsid w:val="00025472"/>
    <w:rsid w:val="00037D99"/>
    <w:rsid w:val="0004030D"/>
    <w:rsid w:val="00042323"/>
    <w:rsid w:val="0004788D"/>
    <w:rsid w:val="00047A07"/>
    <w:rsid w:val="0005395E"/>
    <w:rsid w:val="00065D29"/>
    <w:rsid w:val="00073676"/>
    <w:rsid w:val="000757E6"/>
    <w:rsid w:val="000775BB"/>
    <w:rsid w:val="0008532F"/>
    <w:rsid w:val="000A1704"/>
    <w:rsid w:val="000A3D5C"/>
    <w:rsid w:val="000C4519"/>
    <w:rsid w:val="000C5145"/>
    <w:rsid w:val="000D67D4"/>
    <w:rsid w:val="000E1203"/>
    <w:rsid w:val="000E2F46"/>
    <w:rsid w:val="000F2637"/>
    <w:rsid w:val="000F5098"/>
    <w:rsid w:val="000F5840"/>
    <w:rsid w:val="00106C84"/>
    <w:rsid w:val="00136C72"/>
    <w:rsid w:val="00137303"/>
    <w:rsid w:val="00143403"/>
    <w:rsid w:val="001517E3"/>
    <w:rsid w:val="00163DE4"/>
    <w:rsid w:val="00171908"/>
    <w:rsid w:val="00173E27"/>
    <w:rsid w:val="00180018"/>
    <w:rsid w:val="001821AA"/>
    <w:rsid w:val="00193D58"/>
    <w:rsid w:val="001A3CE7"/>
    <w:rsid w:val="001D3360"/>
    <w:rsid w:val="00200185"/>
    <w:rsid w:val="002022F9"/>
    <w:rsid w:val="002275B2"/>
    <w:rsid w:val="00230FC6"/>
    <w:rsid w:val="002311BA"/>
    <w:rsid w:val="00234323"/>
    <w:rsid w:val="00244977"/>
    <w:rsid w:val="00246073"/>
    <w:rsid w:val="00247172"/>
    <w:rsid w:val="00250DB1"/>
    <w:rsid w:val="00254E1E"/>
    <w:rsid w:val="0025718F"/>
    <w:rsid w:val="0027029D"/>
    <w:rsid w:val="0027416D"/>
    <w:rsid w:val="002876F8"/>
    <w:rsid w:val="00287DE6"/>
    <w:rsid w:val="00294109"/>
    <w:rsid w:val="00295FBA"/>
    <w:rsid w:val="002A49C1"/>
    <w:rsid w:val="002A5858"/>
    <w:rsid w:val="002A69AB"/>
    <w:rsid w:val="002B1905"/>
    <w:rsid w:val="002B2A07"/>
    <w:rsid w:val="002B3CE6"/>
    <w:rsid w:val="002D3712"/>
    <w:rsid w:val="002D37F8"/>
    <w:rsid w:val="002D7029"/>
    <w:rsid w:val="002F13BA"/>
    <w:rsid w:val="00305CBB"/>
    <w:rsid w:val="003062D0"/>
    <w:rsid w:val="0031537C"/>
    <w:rsid w:val="00320089"/>
    <w:rsid w:val="0035108A"/>
    <w:rsid w:val="00352257"/>
    <w:rsid w:val="00356A33"/>
    <w:rsid w:val="00374D6A"/>
    <w:rsid w:val="00375213"/>
    <w:rsid w:val="003752AA"/>
    <w:rsid w:val="00377FB1"/>
    <w:rsid w:val="00387763"/>
    <w:rsid w:val="003936FB"/>
    <w:rsid w:val="00394B0D"/>
    <w:rsid w:val="003A2BBC"/>
    <w:rsid w:val="003A55E8"/>
    <w:rsid w:val="003A5748"/>
    <w:rsid w:val="003B0C2C"/>
    <w:rsid w:val="003B1FDC"/>
    <w:rsid w:val="003B2DD3"/>
    <w:rsid w:val="003B60B7"/>
    <w:rsid w:val="003B61BE"/>
    <w:rsid w:val="003C3824"/>
    <w:rsid w:val="003D550D"/>
    <w:rsid w:val="003E4E53"/>
    <w:rsid w:val="003F67B0"/>
    <w:rsid w:val="0040046F"/>
    <w:rsid w:val="00404519"/>
    <w:rsid w:val="004112E4"/>
    <w:rsid w:val="004149A6"/>
    <w:rsid w:val="00417322"/>
    <w:rsid w:val="00420449"/>
    <w:rsid w:val="0044049B"/>
    <w:rsid w:val="00443996"/>
    <w:rsid w:val="00450997"/>
    <w:rsid w:val="004719BF"/>
    <w:rsid w:val="00476334"/>
    <w:rsid w:val="004818A0"/>
    <w:rsid w:val="004A2D11"/>
    <w:rsid w:val="004C06DD"/>
    <w:rsid w:val="004C58B8"/>
    <w:rsid w:val="004C68A5"/>
    <w:rsid w:val="004F44BF"/>
    <w:rsid w:val="005034F4"/>
    <w:rsid w:val="00504196"/>
    <w:rsid w:val="00513046"/>
    <w:rsid w:val="0053016B"/>
    <w:rsid w:val="00536E94"/>
    <w:rsid w:val="00541CEC"/>
    <w:rsid w:val="00544AE2"/>
    <w:rsid w:val="00551D20"/>
    <w:rsid w:val="00554274"/>
    <w:rsid w:val="00560F62"/>
    <w:rsid w:val="005707E4"/>
    <w:rsid w:val="005739F7"/>
    <w:rsid w:val="005867B0"/>
    <w:rsid w:val="00586D97"/>
    <w:rsid w:val="00587FA3"/>
    <w:rsid w:val="005B0440"/>
    <w:rsid w:val="005C263E"/>
    <w:rsid w:val="005C4223"/>
    <w:rsid w:val="005D01CE"/>
    <w:rsid w:val="006034AD"/>
    <w:rsid w:val="0062173E"/>
    <w:rsid w:val="006259BD"/>
    <w:rsid w:val="00634714"/>
    <w:rsid w:val="006641AE"/>
    <w:rsid w:val="006702B6"/>
    <w:rsid w:val="006A3140"/>
    <w:rsid w:val="006A41AD"/>
    <w:rsid w:val="006B58D6"/>
    <w:rsid w:val="006C445C"/>
    <w:rsid w:val="006C501D"/>
    <w:rsid w:val="006D0C07"/>
    <w:rsid w:val="006F3904"/>
    <w:rsid w:val="006F6F0E"/>
    <w:rsid w:val="007017EF"/>
    <w:rsid w:val="00720A64"/>
    <w:rsid w:val="00734A76"/>
    <w:rsid w:val="00740510"/>
    <w:rsid w:val="00741983"/>
    <w:rsid w:val="00751F78"/>
    <w:rsid w:val="00764ACD"/>
    <w:rsid w:val="0079134A"/>
    <w:rsid w:val="007937AF"/>
    <w:rsid w:val="00793F33"/>
    <w:rsid w:val="00794862"/>
    <w:rsid w:val="0079626F"/>
    <w:rsid w:val="007A67B7"/>
    <w:rsid w:val="007B3F48"/>
    <w:rsid w:val="007C16A9"/>
    <w:rsid w:val="007D3A70"/>
    <w:rsid w:val="007D6DEC"/>
    <w:rsid w:val="007D70AA"/>
    <w:rsid w:val="007E550A"/>
    <w:rsid w:val="00805917"/>
    <w:rsid w:val="00807977"/>
    <w:rsid w:val="008146D8"/>
    <w:rsid w:val="008202C6"/>
    <w:rsid w:val="00821F26"/>
    <w:rsid w:val="00823247"/>
    <w:rsid w:val="008449AA"/>
    <w:rsid w:val="0084700A"/>
    <w:rsid w:val="0085016B"/>
    <w:rsid w:val="00855CCB"/>
    <w:rsid w:val="008562A6"/>
    <w:rsid w:val="008566D3"/>
    <w:rsid w:val="00857051"/>
    <w:rsid w:val="00857499"/>
    <w:rsid w:val="00876E38"/>
    <w:rsid w:val="00891F34"/>
    <w:rsid w:val="008A2B56"/>
    <w:rsid w:val="008D501C"/>
    <w:rsid w:val="008E2148"/>
    <w:rsid w:val="00901AB0"/>
    <w:rsid w:val="009112A1"/>
    <w:rsid w:val="00913A7F"/>
    <w:rsid w:val="00925D58"/>
    <w:rsid w:val="0092695E"/>
    <w:rsid w:val="00930D4D"/>
    <w:rsid w:val="00934B82"/>
    <w:rsid w:val="00943BA8"/>
    <w:rsid w:val="009473CA"/>
    <w:rsid w:val="00962DC5"/>
    <w:rsid w:val="009725CC"/>
    <w:rsid w:val="00973189"/>
    <w:rsid w:val="0097403E"/>
    <w:rsid w:val="00986F1D"/>
    <w:rsid w:val="00992A1F"/>
    <w:rsid w:val="0099446C"/>
    <w:rsid w:val="009B5CEE"/>
    <w:rsid w:val="009B7E30"/>
    <w:rsid w:val="009D1B8C"/>
    <w:rsid w:val="009F51D2"/>
    <w:rsid w:val="00A10E72"/>
    <w:rsid w:val="00A230BF"/>
    <w:rsid w:val="00A30429"/>
    <w:rsid w:val="00A45075"/>
    <w:rsid w:val="00A47A74"/>
    <w:rsid w:val="00A560A0"/>
    <w:rsid w:val="00A76765"/>
    <w:rsid w:val="00A90F24"/>
    <w:rsid w:val="00A95710"/>
    <w:rsid w:val="00AB494D"/>
    <w:rsid w:val="00AB6366"/>
    <w:rsid w:val="00AB69EF"/>
    <w:rsid w:val="00AC29BE"/>
    <w:rsid w:val="00AC71CE"/>
    <w:rsid w:val="00AD535D"/>
    <w:rsid w:val="00AD6E44"/>
    <w:rsid w:val="00AE35D0"/>
    <w:rsid w:val="00AE513C"/>
    <w:rsid w:val="00AF1EFF"/>
    <w:rsid w:val="00AF21E2"/>
    <w:rsid w:val="00AF5D32"/>
    <w:rsid w:val="00B0598B"/>
    <w:rsid w:val="00B13BEC"/>
    <w:rsid w:val="00B21673"/>
    <w:rsid w:val="00B21F4A"/>
    <w:rsid w:val="00B36A77"/>
    <w:rsid w:val="00B61DAD"/>
    <w:rsid w:val="00B625A5"/>
    <w:rsid w:val="00B63348"/>
    <w:rsid w:val="00B90870"/>
    <w:rsid w:val="00B90C39"/>
    <w:rsid w:val="00B91F76"/>
    <w:rsid w:val="00B95327"/>
    <w:rsid w:val="00BD61A6"/>
    <w:rsid w:val="00BD6373"/>
    <w:rsid w:val="00BE1173"/>
    <w:rsid w:val="00BF19DC"/>
    <w:rsid w:val="00BF2A33"/>
    <w:rsid w:val="00BF30D5"/>
    <w:rsid w:val="00C003FD"/>
    <w:rsid w:val="00C02421"/>
    <w:rsid w:val="00C11175"/>
    <w:rsid w:val="00C15B05"/>
    <w:rsid w:val="00C16825"/>
    <w:rsid w:val="00C2149E"/>
    <w:rsid w:val="00C22595"/>
    <w:rsid w:val="00C23009"/>
    <w:rsid w:val="00C3158A"/>
    <w:rsid w:val="00C536C4"/>
    <w:rsid w:val="00C56368"/>
    <w:rsid w:val="00C6207F"/>
    <w:rsid w:val="00C743AF"/>
    <w:rsid w:val="00C745B4"/>
    <w:rsid w:val="00C7497B"/>
    <w:rsid w:val="00C97612"/>
    <w:rsid w:val="00CA0546"/>
    <w:rsid w:val="00CA37F7"/>
    <w:rsid w:val="00CA4512"/>
    <w:rsid w:val="00CB33C2"/>
    <w:rsid w:val="00CB374B"/>
    <w:rsid w:val="00CD2A68"/>
    <w:rsid w:val="00CE1FB1"/>
    <w:rsid w:val="00CE407E"/>
    <w:rsid w:val="00CE40CD"/>
    <w:rsid w:val="00CF5AA9"/>
    <w:rsid w:val="00D04AB6"/>
    <w:rsid w:val="00D11217"/>
    <w:rsid w:val="00D155A4"/>
    <w:rsid w:val="00D22EFF"/>
    <w:rsid w:val="00D273A5"/>
    <w:rsid w:val="00D36EE0"/>
    <w:rsid w:val="00D40E9A"/>
    <w:rsid w:val="00D47645"/>
    <w:rsid w:val="00D56EA2"/>
    <w:rsid w:val="00D57685"/>
    <w:rsid w:val="00D711BA"/>
    <w:rsid w:val="00D76784"/>
    <w:rsid w:val="00D77815"/>
    <w:rsid w:val="00DA366E"/>
    <w:rsid w:val="00DA4698"/>
    <w:rsid w:val="00DC50AA"/>
    <w:rsid w:val="00DC6DBC"/>
    <w:rsid w:val="00DF5AF7"/>
    <w:rsid w:val="00E047C1"/>
    <w:rsid w:val="00E20E21"/>
    <w:rsid w:val="00E30590"/>
    <w:rsid w:val="00E31F4E"/>
    <w:rsid w:val="00E344EF"/>
    <w:rsid w:val="00E3474B"/>
    <w:rsid w:val="00E43C94"/>
    <w:rsid w:val="00E52DAF"/>
    <w:rsid w:val="00E55EA5"/>
    <w:rsid w:val="00E667B4"/>
    <w:rsid w:val="00E72F47"/>
    <w:rsid w:val="00E76E59"/>
    <w:rsid w:val="00E77E27"/>
    <w:rsid w:val="00E82AEA"/>
    <w:rsid w:val="00E84C10"/>
    <w:rsid w:val="00EA7402"/>
    <w:rsid w:val="00EC1646"/>
    <w:rsid w:val="00EC2868"/>
    <w:rsid w:val="00EC481A"/>
    <w:rsid w:val="00F078E6"/>
    <w:rsid w:val="00F1515D"/>
    <w:rsid w:val="00F2780A"/>
    <w:rsid w:val="00F31CA6"/>
    <w:rsid w:val="00F35048"/>
    <w:rsid w:val="00F35216"/>
    <w:rsid w:val="00F355B4"/>
    <w:rsid w:val="00F503C5"/>
    <w:rsid w:val="00F81EF4"/>
    <w:rsid w:val="00FA66FC"/>
    <w:rsid w:val="00FB0BD5"/>
    <w:rsid w:val="00FC2E72"/>
    <w:rsid w:val="00FC3656"/>
    <w:rsid w:val="00FD3D44"/>
    <w:rsid w:val="00FE35B7"/>
    <w:rsid w:val="00FE4B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D62C8"/>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 w:type="character" w:styleId="Hyperlink">
    <w:name w:val="Hyperlink"/>
    <w:basedOn w:val="DefaultParagraphFont"/>
    <w:uiPriority w:val="99"/>
    <w:unhideWhenUsed/>
    <w:rsid w:val="00504196"/>
    <w:rPr>
      <w:color w:val="0000FF"/>
      <w:u w:val="single"/>
    </w:rPr>
  </w:style>
  <w:style w:type="character" w:styleId="PlaceholderText">
    <w:name w:val="Placeholder Text"/>
    <w:basedOn w:val="DefaultParagraphFont"/>
    <w:uiPriority w:val="99"/>
    <w:semiHidden/>
    <w:rsid w:val="00B63348"/>
    <w:rPr>
      <w:color w:val="808080"/>
    </w:rPr>
  </w:style>
  <w:style w:type="character" w:customStyle="1" w:styleId="UnresolvedMention1">
    <w:name w:val="Unresolved Mention1"/>
    <w:basedOn w:val="DefaultParagraphFont"/>
    <w:uiPriority w:val="99"/>
    <w:semiHidden/>
    <w:unhideWhenUsed/>
    <w:rsid w:val="00B90870"/>
    <w:rPr>
      <w:color w:val="808080"/>
      <w:shd w:val="clear" w:color="auto" w:fill="E6E6E6"/>
    </w:rPr>
  </w:style>
  <w:style w:type="character" w:styleId="IntenseEmphasis">
    <w:name w:val="Intense Emphasis"/>
    <w:basedOn w:val="DefaultParagraphFont"/>
    <w:uiPriority w:val="21"/>
    <w:qFormat/>
    <w:rsid w:val="00D77815"/>
    <w:rPr>
      <w:i/>
      <w:iCs/>
      <w:color w:val="4F81BD" w:themeColor="accent1"/>
    </w:rPr>
  </w:style>
  <w:style w:type="paragraph" w:styleId="ListParagraph">
    <w:name w:val="List Paragraph"/>
    <w:basedOn w:val="Normal"/>
    <w:uiPriority w:val="34"/>
    <w:qFormat/>
    <w:rsid w:val="0004030D"/>
    <w:pPr>
      <w:ind w:left="720"/>
      <w:contextualSpacing/>
    </w:pPr>
  </w:style>
  <w:style w:type="paragraph" w:styleId="HTMLPreformatted">
    <w:name w:val="HTML Preformatted"/>
    <w:basedOn w:val="Normal"/>
    <w:link w:val="HTMLPreformattedChar"/>
    <w:uiPriority w:val="99"/>
    <w:semiHidden/>
    <w:unhideWhenUsed/>
    <w:rsid w:val="00375213"/>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375213"/>
    <w:rPr>
      <w:rFonts w:ascii="Courier New" w:eastAsia="Times New Roman" w:hAnsi="Courier New" w:cs="Courier New"/>
      <w:color w:val="auto"/>
      <w:sz w:val="20"/>
      <w:szCs w:val="20"/>
      <w:lang w:val="en-US"/>
    </w:rPr>
  </w:style>
  <w:style w:type="character" w:customStyle="1" w:styleId="kn">
    <w:name w:val="kn"/>
    <w:basedOn w:val="DefaultParagraphFont"/>
    <w:rsid w:val="00375213"/>
  </w:style>
  <w:style w:type="character" w:customStyle="1" w:styleId="nn">
    <w:name w:val="nn"/>
    <w:basedOn w:val="DefaultParagraphFont"/>
    <w:rsid w:val="00375213"/>
  </w:style>
  <w:style w:type="character" w:customStyle="1" w:styleId="k">
    <w:name w:val="k"/>
    <w:basedOn w:val="DefaultParagraphFont"/>
    <w:rsid w:val="00375213"/>
  </w:style>
  <w:style w:type="character" w:customStyle="1" w:styleId="n">
    <w:name w:val="n"/>
    <w:basedOn w:val="DefaultParagraphFont"/>
    <w:rsid w:val="00375213"/>
  </w:style>
  <w:style w:type="character" w:customStyle="1" w:styleId="p">
    <w:name w:val="p"/>
    <w:basedOn w:val="DefaultParagraphFont"/>
    <w:rsid w:val="00375213"/>
  </w:style>
  <w:style w:type="character" w:customStyle="1" w:styleId="c1">
    <w:name w:val="c1"/>
    <w:basedOn w:val="DefaultParagraphFont"/>
    <w:rsid w:val="00375213"/>
  </w:style>
  <w:style w:type="character" w:customStyle="1" w:styleId="o">
    <w:name w:val="o"/>
    <w:basedOn w:val="DefaultParagraphFont"/>
    <w:rsid w:val="00375213"/>
  </w:style>
  <w:style w:type="character" w:customStyle="1" w:styleId="mi">
    <w:name w:val="mi"/>
    <w:basedOn w:val="DefaultParagraphFont"/>
    <w:rsid w:val="00375213"/>
  </w:style>
  <w:style w:type="character" w:customStyle="1" w:styleId="nf">
    <w:name w:val="nf"/>
    <w:basedOn w:val="DefaultParagraphFont"/>
    <w:rsid w:val="005C4223"/>
  </w:style>
  <w:style w:type="character" w:customStyle="1" w:styleId="sd">
    <w:name w:val="sd"/>
    <w:basedOn w:val="DefaultParagraphFont"/>
    <w:rsid w:val="005C4223"/>
  </w:style>
  <w:style w:type="character" w:customStyle="1" w:styleId="s1">
    <w:name w:val="s1"/>
    <w:basedOn w:val="DefaultParagraphFont"/>
    <w:rsid w:val="005C4223"/>
  </w:style>
  <w:style w:type="character" w:customStyle="1" w:styleId="ow">
    <w:name w:val="ow"/>
    <w:basedOn w:val="DefaultParagraphFont"/>
    <w:rsid w:val="005C4223"/>
  </w:style>
  <w:style w:type="character" w:customStyle="1" w:styleId="kc">
    <w:name w:val="kc"/>
    <w:basedOn w:val="DefaultParagraphFont"/>
    <w:rsid w:val="005C4223"/>
  </w:style>
  <w:style w:type="character" w:customStyle="1" w:styleId="nb">
    <w:name w:val="nb"/>
    <w:basedOn w:val="DefaultParagraphFont"/>
    <w:rsid w:val="005C4223"/>
  </w:style>
  <w:style w:type="character" w:customStyle="1" w:styleId="si">
    <w:name w:val="si"/>
    <w:basedOn w:val="DefaultParagraphFont"/>
    <w:rsid w:val="005C4223"/>
  </w:style>
  <w:style w:type="character" w:customStyle="1" w:styleId="s2">
    <w:name w:val="s2"/>
    <w:basedOn w:val="DefaultParagraphFont"/>
    <w:rsid w:val="005C4223"/>
  </w:style>
  <w:style w:type="character" w:customStyle="1" w:styleId="mo">
    <w:name w:val="mo"/>
    <w:basedOn w:val="DefaultParagraphFont"/>
    <w:rsid w:val="00E55EA5"/>
  </w:style>
  <w:style w:type="character" w:customStyle="1" w:styleId="mn">
    <w:name w:val="mn"/>
    <w:basedOn w:val="DefaultParagraphFont"/>
    <w:rsid w:val="00E55EA5"/>
  </w:style>
  <w:style w:type="character" w:styleId="FollowedHyperlink">
    <w:name w:val="FollowedHyperlink"/>
    <w:basedOn w:val="DefaultParagraphFont"/>
    <w:uiPriority w:val="99"/>
    <w:semiHidden/>
    <w:unhideWhenUsed/>
    <w:rsid w:val="005B0440"/>
    <w:rPr>
      <w:color w:val="800080" w:themeColor="followedHyperlink"/>
      <w:u w:val="single"/>
    </w:rPr>
  </w:style>
  <w:style w:type="character" w:styleId="UnresolvedMention">
    <w:name w:val="Unresolved Mention"/>
    <w:basedOn w:val="DefaultParagraphFont"/>
    <w:uiPriority w:val="99"/>
    <w:semiHidden/>
    <w:unhideWhenUsed/>
    <w:rsid w:val="00AF21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2872">
      <w:bodyDiv w:val="1"/>
      <w:marLeft w:val="0"/>
      <w:marRight w:val="0"/>
      <w:marTop w:val="0"/>
      <w:marBottom w:val="0"/>
      <w:divBdr>
        <w:top w:val="none" w:sz="0" w:space="0" w:color="auto"/>
        <w:left w:val="none" w:sz="0" w:space="0" w:color="auto"/>
        <w:bottom w:val="none" w:sz="0" w:space="0" w:color="auto"/>
        <w:right w:val="none" w:sz="0" w:space="0" w:color="auto"/>
      </w:divBdr>
    </w:div>
    <w:div w:id="49503011">
      <w:bodyDiv w:val="1"/>
      <w:marLeft w:val="0"/>
      <w:marRight w:val="0"/>
      <w:marTop w:val="0"/>
      <w:marBottom w:val="0"/>
      <w:divBdr>
        <w:top w:val="none" w:sz="0" w:space="0" w:color="auto"/>
        <w:left w:val="none" w:sz="0" w:space="0" w:color="auto"/>
        <w:bottom w:val="none" w:sz="0" w:space="0" w:color="auto"/>
        <w:right w:val="none" w:sz="0" w:space="0" w:color="auto"/>
      </w:divBdr>
      <w:divsChild>
        <w:div w:id="553781425">
          <w:marLeft w:val="0"/>
          <w:marRight w:val="0"/>
          <w:marTop w:val="0"/>
          <w:marBottom w:val="0"/>
          <w:divBdr>
            <w:top w:val="none" w:sz="0" w:space="0" w:color="auto"/>
            <w:left w:val="none" w:sz="0" w:space="0" w:color="auto"/>
            <w:bottom w:val="none" w:sz="0" w:space="0" w:color="auto"/>
            <w:right w:val="none" w:sz="0" w:space="0" w:color="auto"/>
          </w:divBdr>
          <w:divsChild>
            <w:div w:id="2055613671">
              <w:marLeft w:val="0"/>
              <w:marRight w:val="0"/>
              <w:marTop w:val="0"/>
              <w:marBottom w:val="0"/>
              <w:divBdr>
                <w:top w:val="none" w:sz="0" w:space="0" w:color="auto"/>
                <w:left w:val="none" w:sz="0" w:space="0" w:color="auto"/>
                <w:bottom w:val="none" w:sz="0" w:space="0" w:color="auto"/>
                <w:right w:val="none" w:sz="0" w:space="0" w:color="auto"/>
              </w:divBdr>
              <w:divsChild>
                <w:div w:id="358168280">
                  <w:marLeft w:val="0"/>
                  <w:marRight w:val="0"/>
                  <w:marTop w:val="0"/>
                  <w:marBottom w:val="0"/>
                  <w:divBdr>
                    <w:top w:val="none" w:sz="0" w:space="0" w:color="auto"/>
                    <w:left w:val="none" w:sz="0" w:space="0" w:color="auto"/>
                    <w:bottom w:val="none" w:sz="0" w:space="0" w:color="auto"/>
                    <w:right w:val="none" w:sz="0" w:space="0" w:color="auto"/>
                  </w:divBdr>
                  <w:divsChild>
                    <w:div w:id="1950159794">
                      <w:marLeft w:val="0"/>
                      <w:marRight w:val="0"/>
                      <w:marTop w:val="0"/>
                      <w:marBottom w:val="0"/>
                      <w:divBdr>
                        <w:top w:val="none" w:sz="0" w:space="0" w:color="auto"/>
                        <w:left w:val="none" w:sz="0" w:space="0" w:color="auto"/>
                        <w:bottom w:val="none" w:sz="0" w:space="0" w:color="auto"/>
                        <w:right w:val="none" w:sz="0" w:space="0" w:color="auto"/>
                      </w:divBdr>
                      <w:divsChild>
                        <w:div w:id="4180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966">
                  <w:marLeft w:val="0"/>
                  <w:marRight w:val="0"/>
                  <w:marTop w:val="0"/>
                  <w:marBottom w:val="0"/>
                  <w:divBdr>
                    <w:top w:val="none" w:sz="0" w:space="0" w:color="auto"/>
                    <w:left w:val="none" w:sz="0" w:space="0" w:color="auto"/>
                    <w:bottom w:val="none" w:sz="0" w:space="0" w:color="auto"/>
                    <w:right w:val="none" w:sz="0" w:space="0" w:color="auto"/>
                  </w:divBdr>
                  <w:divsChild>
                    <w:div w:id="440494923">
                      <w:marLeft w:val="0"/>
                      <w:marRight w:val="0"/>
                      <w:marTop w:val="0"/>
                      <w:marBottom w:val="0"/>
                      <w:divBdr>
                        <w:top w:val="none" w:sz="0" w:space="0" w:color="auto"/>
                        <w:left w:val="none" w:sz="0" w:space="0" w:color="auto"/>
                        <w:bottom w:val="none" w:sz="0" w:space="0" w:color="auto"/>
                        <w:right w:val="none" w:sz="0" w:space="0" w:color="auto"/>
                      </w:divBdr>
                      <w:divsChild>
                        <w:div w:id="647518195">
                          <w:marLeft w:val="0"/>
                          <w:marRight w:val="0"/>
                          <w:marTop w:val="0"/>
                          <w:marBottom w:val="0"/>
                          <w:divBdr>
                            <w:top w:val="none" w:sz="0" w:space="0" w:color="auto"/>
                            <w:left w:val="none" w:sz="0" w:space="0" w:color="auto"/>
                            <w:bottom w:val="none" w:sz="0" w:space="0" w:color="auto"/>
                            <w:right w:val="none" w:sz="0" w:space="0" w:color="auto"/>
                          </w:divBdr>
                          <w:divsChild>
                            <w:div w:id="1600985027">
                              <w:marLeft w:val="0"/>
                              <w:marRight w:val="0"/>
                              <w:marTop w:val="0"/>
                              <w:marBottom w:val="0"/>
                              <w:divBdr>
                                <w:top w:val="single" w:sz="6" w:space="0" w:color="CFCFCF"/>
                                <w:left w:val="single" w:sz="6" w:space="0" w:color="CFCFCF"/>
                                <w:bottom w:val="single" w:sz="6" w:space="0" w:color="CFCFCF"/>
                                <w:right w:val="single" w:sz="6" w:space="0" w:color="CFCFCF"/>
                              </w:divBdr>
                              <w:divsChild>
                                <w:div w:id="6108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39333">
                  <w:marLeft w:val="0"/>
                  <w:marRight w:val="0"/>
                  <w:marTop w:val="0"/>
                  <w:marBottom w:val="0"/>
                  <w:divBdr>
                    <w:top w:val="none" w:sz="0" w:space="0" w:color="auto"/>
                    <w:left w:val="none" w:sz="0" w:space="0" w:color="auto"/>
                    <w:bottom w:val="none" w:sz="0" w:space="0" w:color="auto"/>
                    <w:right w:val="none" w:sz="0" w:space="0" w:color="auto"/>
                  </w:divBdr>
                  <w:divsChild>
                    <w:div w:id="145781961">
                      <w:marLeft w:val="0"/>
                      <w:marRight w:val="0"/>
                      <w:marTop w:val="0"/>
                      <w:marBottom w:val="0"/>
                      <w:divBdr>
                        <w:top w:val="none" w:sz="0" w:space="0" w:color="auto"/>
                        <w:left w:val="none" w:sz="0" w:space="0" w:color="auto"/>
                        <w:bottom w:val="none" w:sz="0" w:space="0" w:color="auto"/>
                        <w:right w:val="none" w:sz="0" w:space="0" w:color="auto"/>
                      </w:divBdr>
                      <w:divsChild>
                        <w:div w:id="1409620897">
                          <w:marLeft w:val="0"/>
                          <w:marRight w:val="0"/>
                          <w:marTop w:val="0"/>
                          <w:marBottom w:val="0"/>
                          <w:divBdr>
                            <w:top w:val="none" w:sz="0" w:space="0" w:color="auto"/>
                            <w:left w:val="none" w:sz="0" w:space="0" w:color="auto"/>
                            <w:bottom w:val="none" w:sz="0" w:space="0" w:color="auto"/>
                            <w:right w:val="none" w:sz="0" w:space="0" w:color="auto"/>
                          </w:divBdr>
                          <w:divsChild>
                            <w:div w:id="182787400">
                              <w:marLeft w:val="0"/>
                              <w:marRight w:val="0"/>
                              <w:marTop w:val="0"/>
                              <w:marBottom w:val="0"/>
                              <w:divBdr>
                                <w:top w:val="single" w:sz="6" w:space="0" w:color="CFCFCF"/>
                                <w:left w:val="single" w:sz="6" w:space="0" w:color="CFCFCF"/>
                                <w:bottom w:val="single" w:sz="6" w:space="0" w:color="CFCFCF"/>
                                <w:right w:val="single" w:sz="6" w:space="0" w:color="CFCFCF"/>
                              </w:divBdr>
                              <w:divsChild>
                                <w:div w:id="2113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87226">
                  <w:marLeft w:val="0"/>
                  <w:marRight w:val="0"/>
                  <w:marTop w:val="0"/>
                  <w:marBottom w:val="0"/>
                  <w:divBdr>
                    <w:top w:val="none" w:sz="0" w:space="0" w:color="auto"/>
                    <w:left w:val="none" w:sz="0" w:space="0" w:color="auto"/>
                    <w:bottom w:val="none" w:sz="0" w:space="0" w:color="auto"/>
                    <w:right w:val="none" w:sz="0" w:space="0" w:color="auto"/>
                  </w:divBdr>
                  <w:divsChild>
                    <w:div w:id="1307395312">
                      <w:marLeft w:val="0"/>
                      <w:marRight w:val="0"/>
                      <w:marTop w:val="0"/>
                      <w:marBottom w:val="0"/>
                      <w:divBdr>
                        <w:top w:val="none" w:sz="0" w:space="0" w:color="auto"/>
                        <w:left w:val="none" w:sz="0" w:space="0" w:color="auto"/>
                        <w:bottom w:val="none" w:sz="0" w:space="0" w:color="auto"/>
                        <w:right w:val="none" w:sz="0" w:space="0" w:color="auto"/>
                      </w:divBdr>
                      <w:divsChild>
                        <w:div w:id="2135900043">
                          <w:marLeft w:val="0"/>
                          <w:marRight w:val="0"/>
                          <w:marTop w:val="0"/>
                          <w:marBottom w:val="0"/>
                          <w:divBdr>
                            <w:top w:val="none" w:sz="0" w:space="0" w:color="auto"/>
                            <w:left w:val="none" w:sz="0" w:space="0" w:color="auto"/>
                            <w:bottom w:val="none" w:sz="0" w:space="0" w:color="auto"/>
                            <w:right w:val="none" w:sz="0" w:space="0" w:color="auto"/>
                          </w:divBdr>
                          <w:divsChild>
                            <w:div w:id="1627275338">
                              <w:marLeft w:val="0"/>
                              <w:marRight w:val="0"/>
                              <w:marTop w:val="0"/>
                              <w:marBottom w:val="0"/>
                              <w:divBdr>
                                <w:top w:val="single" w:sz="6" w:space="0" w:color="CFCFCF"/>
                                <w:left w:val="single" w:sz="6" w:space="0" w:color="CFCFCF"/>
                                <w:bottom w:val="single" w:sz="6" w:space="0" w:color="CFCFCF"/>
                                <w:right w:val="single" w:sz="6" w:space="0" w:color="CFCFCF"/>
                              </w:divBdr>
                              <w:divsChild>
                                <w:div w:id="15774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6760">
                  <w:marLeft w:val="0"/>
                  <w:marRight w:val="0"/>
                  <w:marTop w:val="0"/>
                  <w:marBottom w:val="0"/>
                  <w:divBdr>
                    <w:top w:val="none" w:sz="0" w:space="0" w:color="auto"/>
                    <w:left w:val="none" w:sz="0" w:space="0" w:color="auto"/>
                    <w:bottom w:val="none" w:sz="0" w:space="0" w:color="auto"/>
                    <w:right w:val="none" w:sz="0" w:space="0" w:color="auto"/>
                  </w:divBdr>
                  <w:divsChild>
                    <w:div w:id="107437938">
                      <w:marLeft w:val="0"/>
                      <w:marRight w:val="0"/>
                      <w:marTop w:val="0"/>
                      <w:marBottom w:val="0"/>
                      <w:divBdr>
                        <w:top w:val="none" w:sz="0" w:space="0" w:color="auto"/>
                        <w:left w:val="none" w:sz="0" w:space="0" w:color="auto"/>
                        <w:bottom w:val="none" w:sz="0" w:space="0" w:color="auto"/>
                        <w:right w:val="none" w:sz="0" w:space="0" w:color="auto"/>
                      </w:divBdr>
                      <w:divsChild>
                        <w:div w:id="203375237">
                          <w:marLeft w:val="0"/>
                          <w:marRight w:val="0"/>
                          <w:marTop w:val="0"/>
                          <w:marBottom w:val="0"/>
                          <w:divBdr>
                            <w:top w:val="none" w:sz="0" w:space="0" w:color="auto"/>
                            <w:left w:val="none" w:sz="0" w:space="0" w:color="auto"/>
                            <w:bottom w:val="none" w:sz="0" w:space="0" w:color="auto"/>
                            <w:right w:val="none" w:sz="0" w:space="0" w:color="auto"/>
                          </w:divBdr>
                          <w:divsChild>
                            <w:div w:id="1381395611">
                              <w:marLeft w:val="0"/>
                              <w:marRight w:val="0"/>
                              <w:marTop w:val="0"/>
                              <w:marBottom w:val="0"/>
                              <w:divBdr>
                                <w:top w:val="single" w:sz="6" w:space="0" w:color="CFCFCF"/>
                                <w:left w:val="single" w:sz="6" w:space="0" w:color="CFCFCF"/>
                                <w:bottom w:val="single" w:sz="6" w:space="0" w:color="CFCFCF"/>
                                <w:right w:val="single" w:sz="6" w:space="0" w:color="CFCFCF"/>
                              </w:divBdr>
                              <w:divsChild>
                                <w:div w:id="13796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5398">
                      <w:marLeft w:val="0"/>
                      <w:marRight w:val="0"/>
                      <w:marTop w:val="0"/>
                      <w:marBottom w:val="0"/>
                      <w:divBdr>
                        <w:top w:val="none" w:sz="0" w:space="0" w:color="auto"/>
                        <w:left w:val="none" w:sz="0" w:space="0" w:color="auto"/>
                        <w:bottom w:val="none" w:sz="0" w:space="0" w:color="auto"/>
                        <w:right w:val="none" w:sz="0" w:space="0" w:color="auto"/>
                      </w:divBdr>
                      <w:divsChild>
                        <w:div w:id="1336497488">
                          <w:marLeft w:val="0"/>
                          <w:marRight w:val="0"/>
                          <w:marTop w:val="0"/>
                          <w:marBottom w:val="0"/>
                          <w:divBdr>
                            <w:top w:val="none" w:sz="0" w:space="0" w:color="auto"/>
                            <w:left w:val="none" w:sz="0" w:space="0" w:color="auto"/>
                            <w:bottom w:val="none" w:sz="0" w:space="0" w:color="auto"/>
                            <w:right w:val="none" w:sz="0" w:space="0" w:color="auto"/>
                          </w:divBdr>
                          <w:divsChild>
                            <w:div w:id="740102260">
                              <w:marLeft w:val="0"/>
                              <w:marRight w:val="0"/>
                              <w:marTop w:val="0"/>
                              <w:marBottom w:val="0"/>
                              <w:divBdr>
                                <w:top w:val="none" w:sz="0" w:space="0" w:color="auto"/>
                                <w:left w:val="none" w:sz="0" w:space="0" w:color="auto"/>
                                <w:bottom w:val="none" w:sz="0" w:space="0" w:color="auto"/>
                                <w:right w:val="none" w:sz="0" w:space="0" w:color="auto"/>
                              </w:divBdr>
                              <w:divsChild>
                                <w:div w:id="370493132">
                                  <w:marLeft w:val="0"/>
                                  <w:marRight w:val="0"/>
                                  <w:marTop w:val="0"/>
                                  <w:marBottom w:val="0"/>
                                  <w:divBdr>
                                    <w:top w:val="none" w:sz="0" w:space="0" w:color="auto"/>
                                    <w:left w:val="none" w:sz="0" w:space="0" w:color="auto"/>
                                    <w:bottom w:val="none" w:sz="0" w:space="0" w:color="auto"/>
                                    <w:right w:val="none" w:sz="0" w:space="0" w:color="auto"/>
                                  </w:divBdr>
                                  <w:divsChild>
                                    <w:div w:id="11706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63135">
                  <w:marLeft w:val="0"/>
                  <w:marRight w:val="0"/>
                  <w:marTop w:val="0"/>
                  <w:marBottom w:val="0"/>
                  <w:divBdr>
                    <w:top w:val="none" w:sz="0" w:space="0" w:color="auto"/>
                    <w:left w:val="none" w:sz="0" w:space="0" w:color="auto"/>
                    <w:bottom w:val="none" w:sz="0" w:space="0" w:color="auto"/>
                    <w:right w:val="none" w:sz="0" w:space="0" w:color="auto"/>
                  </w:divBdr>
                  <w:divsChild>
                    <w:div w:id="2125540396">
                      <w:marLeft w:val="0"/>
                      <w:marRight w:val="0"/>
                      <w:marTop w:val="0"/>
                      <w:marBottom w:val="0"/>
                      <w:divBdr>
                        <w:top w:val="none" w:sz="0" w:space="0" w:color="auto"/>
                        <w:left w:val="none" w:sz="0" w:space="0" w:color="auto"/>
                        <w:bottom w:val="none" w:sz="0" w:space="0" w:color="auto"/>
                        <w:right w:val="none" w:sz="0" w:space="0" w:color="auto"/>
                      </w:divBdr>
                      <w:divsChild>
                        <w:div w:id="498426393">
                          <w:marLeft w:val="0"/>
                          <w:marRight w:val="0"/>
                          <w:marTop w:val="0"/>
                          <w:marBottom w:val="0"/>
                          <w:divBdr>
                            <w:top w:val="none" w:sz="0" w:space="0" w:color="auto"/>
                            <w:left w:val="none" w:sz="0" w:space="0" w:color="auto"/>
                            <w:bottom w:val="none" w:sz="0" w:space="0" w:color="auto"/>
                            <w:right w:val="none" w:sz="0" w:space="0" w:color="auto"/>
                          </w:divBdr>
                          <w:divsChild>
                            <w:div w:id="1780904849">
                              <w:marLeft w:val="0"/>
                              <w:marRight w:val="0"/>
                              <w:marTop w:val="0"/>
                              <w:marBottom w:val="0"/>
                              <w:divBdr>
                                <w:top w:val="single" w:sz="6" w:space="0" w:color="CFCFCF"/>
                                <w:left w:val="single" w:sz="6" w:space="0" w:color="CFCFCF"/>
                                <w:bottom w:val="single" w:sz="6" w:space="0" w:color="CFCFCF"/>
                                <w:right w:val="single" w:sz="6" w:space="0" w:color="CFCFCF"/>
                              </w:divBdr>
                              <w:divsChild>
                                <w:div w:id="16907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7396">
                      <w:marLeft w:val="0"/>
                      <w:marRight w:val="0"/>
                      <w:marTop w:val="0"/>
                      <w:marBottom w:val="0"/>
                      <w:divBdr>
                        <w:top w:val="none" w:sz="0" w:space="0" w:color="auto"/>
                        <w:left w:val="none" w:sz="0" w:space="0" w:color="auto"/>
                        <w:bottom w:val="none" w:sz="0" w:space="0" w:color="auto"/>
                        <w:right w:val="none" w:sz="0" w:space="0" w:color="auto"/>
                      </w:divBdr>
                      <w:divsChild>
                        <w:div w:id="94058646">
                          <w:marLeft w:val="0"/>
                          <w:marRight w:val="0"/>
                          <w:marTop w:val="0"/>
                          <w:marBottom w:val="0"/>
                          <w:divBdr>
                            <w:top w:val="none" w:sz="0" w:space="0" w:color="auto"/>
                            <w:left w:val="none" w:sz="0" w:space="0" w:color="auto"/>
                            <w:bottom w:val="none" w:sz="0" w:space="0" w:color="auto"/>
                            <w:right w:val="none" w:sz="0" w:space="0" w:color="auto"/>
                          </w:divBdr>
                          <w:divsChild>
                            <w:div w:id="835068954">
                              <w:marLeft w:val="0"/>
                              <w:marRight w:val="0"/>
                              <w:marTop w:val="0"/>
                              <w:marBottom w:val="0"/>
                              <w:divBdr>
                                <w:top w:val="none" w:sz="0" w:space="0" w:color="auto"/>
                                <w:left w:val="none" w:sz="0" w:space="0" w:color="auto"/>
                                <w:bottom w:val="none" w:sz="0" w:space="0" w:color="auto"/>
                                <w:right w:val="none" w:sz="0" w:space="0" w:color="auto"/>
                              </w:divBdr>
                              <w:divsChild>
                                <w:div w:id="895235757">
                                  <w:marLeft w:val="0"/>
                                  <w:marRight w:val="0"/>
                                  <w:marTop w:val="0"/>
                                  <w:marBottom w:val="0"/>
                                  <w:divBdr>
                                    <w:top w:val="none" w:sz="0" w:space="0" w:color="auto"/>
                                    <w:left w:val="none" w:sz="0" w:space="0" w:color="auto"/>
                                    <w:bottom w:val="none" w:sz="0" w:space="0" w:color="auto"/>
                                    <w:right w:val="none" w:sz="0" w:space="0" w:color="auto"/>
                                  </w:divBdr>
                                  <w:divsChild>
                                    <w:div w:id="20249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14072">
                  <w:marLeft w:val="0"/>
                  <w:marRight w:val="0"/>
                  <w:marTop w:val="0"/>
                  <w:marBottom w:val="0"/>
                  <w:divBdr>
                    <w:top w:val="none" w:sz="0" w:space="0" w:color="auto"/>
                    <w:left w:val="none" w:sz="0" w:space="0" w:color="auto"/>
                    <w:bottom w:val="none" w:sz="0" w:space="0" w:color="auto"/>
                    <w:right w:val="none" w:sz="0" w:space="0" w:color="auto"/>
                  </w:divBdr>
                  <w:divsChild>
                    <w:div w:id="563375666">
                      <w:marLeft w:val="0"/>
                      <w:marRight w:val="0"/>
                      <w:marTop w:val="0"/>
                      <w:marBottom w:val="0"/>
                      <w:divBdr>
                        <w:top w:val="none" w:sz="0" w:space="0" w:color="auto"/>
                        <w:left w:val="none" w:sz="0" w:space="0" w:color="auto"/>
                        <w:bottom w:val="none" w:sz="0" w:space="0" w:color="auto"/>
                        <w:right w:val="none" w:sz="0" w:space="0" w:color="auto"/>
                      </w:divBdr>
                      <w:divsChild>
                        <w:div w:id="343286827">
                          <w:marLeft w:val="0"/>
                          <w:marRight w:val="0"/>
                          <w:marTop w:val="0"/>
                          <w:marBottom w:val="0"/>
                          <w:divBdr>
                            <w:top w:val="none" w:sz="0" w:space="0" w:color="auto"/>
                            <w:left w:val="none" w:sz="0" w:space="0" w:color="auto"/>
                            <w:bottom w:val="none" w:sz="0" w:space="0" w:color="auto"/>
                            <w:right w:val="none" w:sz="0" w:space="0" w:color="auto"/>
                          </w:divBdr>
                          <w:divsChild>
                            <w:div w:id="1328174904">
                              <w:marLeft w:val="0"/>
                              <w:marRight w:val="0"/>
                              <w:marTop w:val="0"/>
                              <w:marBottom w:val="0"/>
                              <w:divBdr>
                                <w:top w:val="single" w:sz="6" w:space="0" w:color="CFCFCF"/>
                                <w:left w:val="single" w:sz="6" w:space="0" w:color="CFCFCF"/>
                                <w:bottom w:val="single" w:sz="6" w:space="0" w:color="CFCFCF"/>
                                <w:right w:val="single" w:sz="6" w:space="0" w:color="CFCFCF"/>
                              </w:divBdr>
                              <w:divsChild>
                                <w:div w:id="1558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2457">
                      <w:marLeft w:val="0"/>
                      <w:marRight w:val="0"/>
                      <w:marTop w:val="0"/>
                      <w:marBottom w:val="0"/>
                      <w:divBdr>
                        <w:top w:val="none" w:sz="0" w:space="0" w:color="auto"/>
                        <w:left w:val="none" w:sz="0" w:space="0" w:color="auto"/>
                        <w:bottom w:val="none" w:sz="0" w:space="0" w:color="auto"/>
                        <w:right w:val="none" w:sz="0" w:space="0" w:color="auto"/>
                      </w:divBdr>
                      <w:divsChild>
                        <w:div w:id="581530193">
                          <w:marLeft w:val="0"/>
                          <w:marRight w:val="0"/>
                          <w:marTop w:val="0"/>
                          <w:marBottom w:val="0"/>
                          <w:divBdr>
                            <w:top w:val="none" w:sz="0" w:space="0" w:color="auto"/>
                            <w:left w:val="none" w:sz="0" w:space="0" w:color="auto"/>
                            <w:bottom w:val="none" w:sz="0" w:space="0" w:color="auto"/>
                            <w:right w:val="none" w:sz="0" w:space="0" w:color="auto"/>
                          </w:divBdr>
                          <w:divsChild>
                            <w:div w:id="757562214">
                              <w:marLeft w:val="0"/>
                              <w:marRight w:val="0"/>
                              <w:marTop w:val="0"/>
                              <w:marBottom w:val="0"/>
                              <w:divBdr>
                                <w:top w:val="none" w:sz="0" w:space="0" w:color="auto"/>
                                <w:left w:val="none" w:sz="0" w:space="0" w:color="auto"/>
                                <w:bottom w:val="none" w:sz="0" w:space="0" w:color="auto"/>
                                <w:right w:val="none" w:sz="0" w:space="0" w:color="auto"/>
                              </w:divBdr>
                              <w:divsChild>
                                <w:div w:id="731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52725">
                  <w:marLeft w:val="0"/>
                  <w:marRight w:val="0"/>
                  <w:marTop w:val="0"/>
                  <w:marBottom w:val="0"/>
                  <w:divBdr>
                    <w:top w:val="none" w:sz="0" w:space="0" w:color="auto"/>
                    <w:left w:val="none" w:sz="0" w:space="0" w:color="auto"/>
                    <w:bottom w:val="none" w:sz="0" w:space="0" w:color="auto"/>
                    <w:right w:val="none" w:sz="0" w:space="0" w:color="auto"/>
                  </w:divBdr>
                  <w:divsChild>
                    <w:div w:id="916479604">
                      <w:marLeft w:val="0"/>
                      <w:marRight w:val="0"/>
                      <w:marTop w:val="0"/>
                      <w:marBottom w:val="0"/>
                      <w:divBdr>
                        <w:top w:val="none" w:sz="0" w:space="0" w:color="auto"/>
                        <w:left w:val="none" w:sz="0" w:space="0" w:color="auto"/>
                        <w:bottom w:val="none" w:sz="0" w:space="0" w:color="auto"/>
                        <w:right w:val="none" w:sz="0" w:space="0" w:color="auto"/>
                      </w:divBdr>
                      <w:divsChild>
                        <w:div w:id="808547798">
                          <w:marLeft w:val="0"/>
                          <w:marRight w:val="0"/>
                          <w:marTop w:val="0"/>
                          <w:marBottom w:val="0"/>
                          <w:divBdr>
                            <w:top w:val="none" w:sz="0" w:space="0" w:color="auto"/>
                            <w:left w:val="none" w:sz="0" w:space="0" w:color="auto"/>
                            <w:bottom w:val="none" w:sz="0" w:space="0" w:color="auto"/>
                            <w:right w:val="none" w:sz="0" w:space="0" w:color="auto"/>
                          </w:divBdr>
                          <w:divsChild>
                            <w:div w:id="1877505337">
                              <w:marLeft w:val="0"/>
                              <w:marRight w:val="0"/>
                              <w:marTop w:val="0"/>
                              <w:marBottom w:val="0"/>
                              <w:divBdr>
                                <w:top w:val="single" w:sz="6" w:space="0" w:color="CFCFCF"/>
                                <w:left w:val="single" w:sz="6" w:space="0" w:color="CFCFCF"/>
                                <w:bottom w:val="single" w:sz="6" w:space="0" w:color="CFCFCF"/>
                                <w:right w:val="single" w:sz="6" w:space="0" w:color="CFCFCF"/>
                              </w:divBdr>
                              <w:divsChild>
                                <w:div w:id="1702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277">
                      <w:marLeft w:val="0"/>
                      <w:marRight w:val="0"/>
                      <w:marTop w:val="0"/>
                      <w:marBottom w:val="0"/>
                      <w:divBdr>
                        <w:top w:val="none" w:sz="0" w:space="0" w:color="auto"/>
                        <w:left w:val="none" w:sz="0" w:space="0" w:color="auto"/>
                        <w:bottom w:val="none" w:sz="0" w:space="0" w:color="auto"/>
                        <w:right w:val="none" w:sz="0" w:space="0" w:color="auto"/>
                      </w:divBdr>
                      <w:divsChild>
                        <w:div w:id="768237310">
                          <w:marLeft w:val="0"/>
                          <w:marRight w:val="0"/>
                          <w:marTop w:val="0"/>
                          <w:marBottom w:val="0"/>
                          <w:divBdr>
                            <w:top w:val="none" w:sz="0" w:space="0" w:color="auto"/>
                            <w:left w:val="none" w:sz="0" w:space="0" w:color="auto"/>
                            <w:bottom w:val="none" w:sz="0" w:space="0" w:color="auto"/>
                            <w:right w:val="none" w:sz="0" w:space="0" w:color="auto"/>
                          </w:divBdr>
                          <w:divsChild>
                            <w:div w:id="1747146231">
                              <w:marLeft w:val="0"/>
                              <w:marRight w:val="0"/>
                              <w:marTop w:val="0"/>
                              <w:marBottom w:val="0"/>
                              <w:divBdr>
                                <w:top w:val="none" w:sz="0" w:space="0" w:color="auto"/>
                                <w:left w:val="none" w:sz="0" w:space="0" w:color="auto"/>
                                <w:bottom w:val="none" w:sz="0" w:space="0" w:color="auto"/>
                                <w:right w:val="none" w:sz="0" w:space="0" w:color="auto"/>
                              </w:divBdr>
                              <w:divsChild>
                                <w:div w:id="632448684">
                                  <w:marLeft w:val="0"/>
                                  <w:marRight w:val="0"/>
                                  <w:marTop w:val="0"/>
                                  <w:marBottom w:val="0"/>
                                  <w:divBdr>
                                    <w:top w:val="none" w:sz="0" w:space="0" w:color="auto"/>
                                    <w:left w:val="none" w:sz="0" w:space="0" w:color="auto"/>
                                    <w:bottom w:val="none" w:sz="0" w:space="0" w:color="auto"/>
                                    <w:right w:val="none" w:sz="0" w:space="0" w:color="auto"/>
                                  </w:divBdr>
                                </w:div>
                              </w:divsChild>
                            </w:div>
                            <w:div w:id="294677202">
                              <w:marLeft w:val="0"/>
                              <w:marRight w:val="0"/>
                              <w:marTop w:val="0"/>
                              <w:marBottom w:val="0"/>
                              <w:divBdr>
                                <w:top w:val="none" w:sz="0" w:space="0" w:color="auto"/>
                                <w:left w:val="none" w:sz="0" w:space="0" w:color="auto"/>
                                <w:bottom w:val="none" w:sz="0" w:space="0" w:color="auto"/>
                                <w:right w:val="none" w:sz="0" w:space="0" w:color="auto"/>
                              </w:divBdr>
                              <w:divsChild>
                                <w:div w:id="1934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31620">
                  <w:marLeft w:val="0"/>
                  <w:marRight w:val="0"/>
                  <w:marTop w:val="0"/>
                  <w:marBottom w:val="0"/>
                  <w:divBdr>
                    <w:top w:val="none" w:sz="0" w:space="0" w:color="auto"/>
                    <w:left w:val="none" w:sz="0" w:space="0" w:color="auto"/>
                    <w:bottom w:val="none" w:sz="0" w:space="0" w:color="auto"/>
                    <w:right w:val="none" w:sz="0" w:space="0" w:color="auto"/>
                  </w:divBdr>
                  <w:divsChild>
                    <w:div w:id="1332836905">
                      <w:marLeft w:val="0"/>
                      <w:marRight w:val="0"/>
                      <w:marTop w:val="0"/>
                      <w:marBottom w:val="0"/>
                      <w:divBdr>
                        <w:top w:val="none" w:sz="0" w:space="0" w:color="auto"/>
                        <w:left w:val="none" w:sz="0" w:space="0" w:color="auto"/>
                        <w:bottom w:val="none" w:sz="0" w:space="0" w:color="auto"/>
                        <w:right w:val="none" w:sz="0" w:space="0" w:color="auto"/>
                      </w:divBdr>
                      <w:divsChild>
                        <w:div w:id="1584610837">
                          <w:marLeft w:val="0"/>
                          <w:marRight w:val="0"/>
                          <w:marTop w:val="0"/>
                          <w:marBottom w:val="0"/>
                          <w:divBdr>
                            <w:top w:val="none" w:sz="0" w:space="0" w:color="auto"/>
                            <w:left w:val="none" w:sz="0" w:space="0" w:color="auto"/>
                            <w:bottom w:val="none" w:sz="0" w:space="0" w:color="auto"/>
                            <w:right w:val="none" w:sz="0" w:space="0" w:color="auto"/>
                          </w:divBdr>
                          <w:divsChild>
                            <w:div w:id="782190229">
                              <w:marLeft w:val="0"/>
                              <w:marRight w:val="0"/>
                              <w:marTop w:val="0"/>
                              <w:marBottom w:val="0"/>
                              <w:divBdr>
                                <w:top w:val="single" w:sz="6" w:space="0" w:color="CFCFCF"/>
                                <w:left w:val="single" w:sz="6" w:space="0" w:color="CFCFCF"/>
                                <w:bottom w:val="single" w:sz="6" w:space="0" w:color="CFCFCF"/>
                                <w:right w:val="single" w:sz="6" w:space="0" w:color="CFCFCF"/>
                              </w:divBdr>
                              <w:divsChild>
                                <w:div w:id="19514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8082">
                  <w:marLeft w:val="0"/>
                  <w:marRight w:val="0"/>
                  <w:marTop w:val="0"/>
                  <w:marBottom w:val="0"/>
                  <w:divBdr>
                    <w:top w:val="none" w:sz="0" w:space="0" w:color="auto"/>
                    <w:left w:val="none" w:sz="0" w:space="0" w:color="auto"/>
                    <w:bottom w:val="none" w:sz="0" w:space="0" w:color="auto"/>
                    <w:right w:val="none" w:sz="0" w:space="0" w:color="auto"/>
                  </w:divBdr>
                  <w:divsChild>
                    <w:div w:id="322592208">
                      <w:marLeft w:val="0"/>
                      <w:marRight w:val="0"/>
                      <w:marTop w:val="0"/>
                      <w:marBottom w:val="0"/>
                      <w:divBdr>
                        <w:top w:val="none" w:sz="0" w:space="0" w:color="auto"/>
                        <w:left w:val="none" w:sz="0" w:space="0" w:color="auto"/>
                        <w:bottom w:val="none" w:sz="0" w:space="0" w:color="auto"/>
                        <w:right w:val="none" w:sz="0" w:space="0" w:color="auto"/>
                      </w:divBdr>
                      <w:divsChild>
                        <w:div w:id="108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6089">
                  <w:marLeft w:val="0"/>
                  <w:marRight w:val="0"/>
                  <w:marTop w:val="0"/>
                  <w:marBottom w:val="0"/>
                  <w:divBdr>
                    <w:top w:val="none" w:sz="0" w:space="0" w:color="auto"/>
                    <w:left w:val="none" w:sz="0" w:space="0" w:color="auto"/>
                    <w:bottom w:val="none" w:sz="0" w:space="0" w:color="auto"/>
                    <w:right w:val="none" w:sz="0" w:space="0" w:color="auto"/>
                  </w:divBdr>
                  <w:divsChild>
                    <w:div w:id="426771543">
                      <w:marLeft w:val="0"/>
                      <w:marRight w:val="0"/>
                      <w:marTop w:val="0"/>
                      <w:marBottom w:val="0"/>
                      <w:divBdr>
                        <w:top w:val="none" w:sz="0" w:space="0" w:color="auto"/>
                        <w:left w:val="none" w:sz="0" w:space="0" w:color="auto"/>
                        <w:bottom w:val="none" w:sz="0" w:space="0" w:color="auto"/>
                        <w:right w:val="none" w:sz="0" w:space="0" w:color="auto"/>
                      </w:divBdr>
                      <w:divsChild>
                        <w:div w:id="1149398795">
                          <w:marLeft w:val="0"/>
                          <w:marRight w:val="0"/>
                          <w:marTop w:val="0"/>
                          <w:marBottom w:val="0"/>
                          <w:divBdr>
                            <w:top w:val="none" w:sz="0" w:space="0" w:color="auto"/>
                            <w:left w:val="none" w:sz="0" w:space="0" w:color="auto"/>
                            <w:bottom w:val="none" w:sz="0" w:space="0" w:color="auto"/>
                            <w:right w:val="none" w:sz="0" w:space="0" w:color="auto"/>
                          </w:divBdr>
                          <w:divsChild>
                            <w:div w:id="1138574095">
                              <w:marLeft w:val="0"/>
                              <w:marRight w:val="0"/>
                              <w:marTop w:val="0"/>
                              <w:marBottom w:val="0"/>
                              <w:divBdr>
                                <w:top w:val="single" w:sz="6" w:space="0" w:color="CFCFCF"/>
                                <w:left w:val="single" w:sz="6" w:space="0" w:color="CFCFCF"/>
                                <w:bottom w:val="single" w:sz="6" w:space="0" w:color="CFCFCF"/>
                                <w:right w:val="single" w:sz="6" w:space="0" w:color="CFCFCF"/>
                              </w:divBdr>
                              <w:divsChild>
                                <w:div w:id="43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4792">
                  <w:marLeft w:val="0"/>
                  <w:marRight w:val="0"/>
                  <w:marTop w:val="0"/>
                  <w:marBottom w:val="0"/>
                  <w:divBdr>
                    <w:top w:val="none" w:sz="0" w:space="0" w:color="auto"/>
                    <w:left w:val="none" w:sz="0" w:space="0" w:color="auto"/>
                    <w:bottom w:val="none" w:sz="0" w:space="0" w:color="auto"/>
                    <w:right w:val="none" w:sz="0" w:space="0" w:color="auto"/>
                  </w:divBdr>
                  <w:divsChild>
                    <w:div w:id="1494838500">
                      <w:marLeft w:val="0"/>
                      <w:marRight w:val="0"/>
                      <w:marTop w:val="0"/>
                      <w:marBottom w:val="0"/>
                      <w:divBdr>
                        <w:top w:val="none" w:sz="0" w:space="0" w:color="auto"/>
                        <w:left w:val="none" w:sz="0" w:space="0" w:color="auto"/>
                        <w:bottom w:val="none" w:sz="0" w:space="0" w:color="auto"/>
                        <w:right w:val="none" w:sz="0" w:space="0" w:color="auto"/>
                      </w:divBdr>
                      <w:divsChild>
                        <w:div w:id="1152215924">
                          <w:marLeft w:val="0"/>
                          <w:marRight w:val="0"/>
                          <w:marTop w:val="0"/>
                          <w:marBottom w:val="0"/>
                          <w:divBdr>
                            <w:top w:val="none" w:sz="0" w:space="0" w:color="auto"/>
                            <w:left w:val="none" w:sz="0" w:space="0" w:color="auto"/>
                            <w:bottom w:val="none" w:sz="0" w:space="0" w:color="auto"/>
                            <w:right w:val="none" w:sz="0" w:space="0" w:color="auto"/>
                          </w:divBdr>
                          <w:divsChild>
                            <w:div w:id="34428969">
                              <w:marLeft w:val="0"/>
                              <w:marRight w:val="0"/>
                              <w:marTop w:val="0"/>
                              <w:marBottom w:val="0"/>
                              <w:divBdr>
                                <w:top w:val="single" w:sz="6" w:space="0" w:color="CFCFCF"/>
                                <w:left w:val="single" w:sz="6" w:space="0" w:color="CFCFCF"/>
                                <w:bottom w:val="single" w:sz="6" w:space="0" w:color="CFCFCF"/>
                                <w:right w:val="single" w:sz="6" w:space="0" w:color="CFCFCF"/>
                              </w:divBdr>
                              <w:divsChild>
                                <w:div w:id="990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9718">
                      <w:marLeft w:val="0"/>
                      <w:marRight w:val="0"/>
                      <w:marTop w:val="0"/>
                      <w:marBottom w:val="0"/>
                      <w:divBdr>
                        <w:top w:val="none" w:sz="0" w:space="0" w:color="auto"/>
                        <w:left w:val="none" w:sz="0" w:space="0" w:color="auto"/>
                        <w:bottom w:val="none" w:sz="0" w:space="0" w:color="auto"/>
                        <w:right w:val="none" w:sz="0" w:space="0" w:color="auto"/>
                      </w:divBdr>
                      <w:divsChild>
                        <w:div w:id="1133331297">
                          <w:marLeft w:val="0"/>
                          <w:marRight w:val="0"/>
                          <w:marTop w:val="0"/>
                          <w:marBottom w:val="0"/>
                          <w:divBdr>
                            <w:top w:val="none" w:sz="0" w:space="0" w:color="auto"/>
                            <w:left w:val="none" w:sz="0" w:space="0" w:color="auto"/>
                            <w:bottom w:val="none" w:sz="0" w:space="0" w:color="auto"/>
                            <w:right w:val="none" w:sz="0" w:space="0" w:color="auto"/>
                          </w:divBdr>
                          <w:divsChild>
                            <w:div w:id="78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2198">
                  <w:marLeft w:val="0"/>
                  <w:marRight w:val="0"/>
                  <w:marTop w:val="0"/>
                  <w:marBottom w:val="0"/>
                  <w:divBdr>
                    <w:top w:val="none" w:sz="0" w:space="0" w:color="auto"/>
                    <w:left w:val="none" w:sz="0" w:space="0" w:color="auto"/>
                    <w:bottom w:val="none" w:sz="0" w:space="0" w:color="auto"/>
                    <w:right w:val="none" w:sz="0" w:space="0" w:color="auto"/>
                  </w:divBdr>
                  <w:divsChild>
                    <w:div w:id="1041056185">
                      <w:marLeft w:val="0"/>
                      <w:marRight w:val="0"/>
                      <w:marTop w:val="0"/>
                      <w:marBottom w:val="0"/>
                      <w:divBdr>
                        <w:top w:val="none" w:sz="0" w:space="0" w:color="auto"/>
                        <w:left w:val="none" w:sz="0" w:space="0" w:color="auto"/>
                        <w:bottom w:val="none" w:sz="0" w:space="0" w:color="auto"/>
                        <w:right w:val="none" w:sz="0" w:space="0" w:color="auto"/>
                      </w:divBdr>
                      <w:divsChild>
                        <w:div w:id="947932617">
                          <w:marLeft w:val="0"/>
                          <w:marRight w:val="0"/>
                          <w:marTop w:val="0"/>
                          <w:marBottom w:val="0"/>
                          <w:divBdr>
                            <w:top w:val="none" w:sz="0" w:space="0" w:color="auto"/>
                            <w:left w:val="none" w:sz="0" w:space="0" w:color="auto"/>
                            <w:bottom w:val="none" w:sz="0" w:space="0" w:color="auto"/>
                            <w:right w:val="none" w:sz="0" w:space="0" w:color="auto"/>
                          </w:divBdr>
                          <w:divsChild>
                            <w:div w:id="25445812">
                              <w:marLeft w:val="0"/>
                              <w:marRight w:val="0"/>
                              <w:marTop w:val="0"/>
                              <w:marBottom w:val="0"/>
                              <w:divBdr>
                                <w:top w:val="single" w:sz="6" w:space="0" w:color="CFCFCF"/>
                                <w:left w:val="single" w:sz="6" w:space="0" w:color="CFCFCF"/>
                                <w:bottom w:val="single" w:sz="6" w:space="0" w:color="CFCFCF"/>
                                <w:right w:val="single" w:sz="6" w:space="0" w:color="CFCFCF"/>
                              </w:divBdr>
                              <w:divsChild>
                                <w:div w:id="253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1179">
                  <w:marLeft w:val="0"/>
                  <w:marRight w:val="0"/>
                  <w:marTop w:val="0"/>
                  <w:marBottom w:val="0"/>
                  <w:divBdr>
                    <w:top w:val="none" w:sz="0" w:space="0" w:color="auto"/>
                    <w:left w:val="none" w:sz="0" w:space="0" w:color="auto"/>
                    <w:bottom w:val="none" w:sz="0" w:space="0" w:color="auto"/>
                    <w:right w:val="none" w:sz="0" w:space="0" w:color="auto"/>
                  </w:divBdr>
                  <w:divsChild>
                    <w:div w:id="1147548252">
                      <w:marLeft w:val="0"/>
                      <w:marRight w:val="0"/>
                      <w:marTop w:val="0"/>
                      <w:marBottom w:val="0"/>
                      <w:divBdr>
                        <w:top w:val="none" w:sz="0" w:space="0" w:color="auto"/>
                        <w:left w:val="none" w:sz="0" w:space="0" w:color="auto"/>
                        <w:bottom w:val="none" w:sz="0" w:space="0" w:color="auto"/>
                        <w:right w:val="none" w:sz="0" w:space="0" w:color="auto"/>
                      </w:divBdr>
                      <w:divsChild>
                        <w:div w:id="251208394">
                          <w:marLeft w:val="0"/>
                          <w:marRight w:val="0"/>
                          <w:marTop w:val="0"/>
                          <w:marBottom w:val="0"/>
                          <w:divBdr>
                            <w:top w:val="none" w:sz="0" w:space="0" w:color="auto"/>
                            <w:left w:val="none" w:sz="0" w:space="0" w:color="auto"/>
                            <w:bottom w:val="none" w:sz="0" w:space="0" w:color="auto"/>
                            <w:right w:val="none" w:sz="0" w:space="0" w:color="auto"/>
                          </w:divBdr>
                          <w:divsChild>
                            <w:div w:id="1329480509">
                              <w:marLeft w:val="0"/>
                              <w:marRight w:val="0"/>
                              <w:marTop w:val="0"/>
                              <w:marBottom w:val="0"/>
                              <w:divBdr>
                                <w:top w:val="single" w:sz="6" w:space="0" w:color="CFCFCF"/>
                                <w:left w:val="single" w:sz="6" w:space="0" w:color="CFCFCF"/>
                                <w:bottom w:val="single" w:sz="6" w:space="0" w:color="CFCFCF"/>
                                <w:right w:val="single" w:sz="6" w:space="0" w:color="CFCFCF"/>
                              </w:divBdr>
                              <w:divsChild>
                                <w:div w:id="16980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2200">
                  <w:marLeft w:val="0"/>
                  <w:marRight w:val="0"/>
                  <w:marTop w:val="0"/>
                  <w:marBottom w:val="0"/>
                  <w:divBdr>
                    <w:top w:val="none" w:sz="0" w:space="0" w:color="auto"/>
                    <w:left w:val="none" w:sz="0" w:space="0" w:color="auto"/>
                    <w:bottom w:val="none" w:sz="0" w:space="0" w:color="auto"/>
                    <w:right w:val="none" w:sz="0" w:space="0" w:color="auto"/>
                  </w:divBdr>
                  <w:divsChild>
                    <w:div w:id="90124550">
                      <w:marLeft w:val="0"/>
                      <w:marRight w:val="0"/>
                      <w:marTop w:val="0"/>
                      <w:marBottom w:val="0"/>
                      <w:divBdr>
                        <w:top w:val="none" w:sz="0" w:space="0" w:color="auto"/>
                        <w:left w:val="none" w:sz="0" w:space="0" w:color="auto"/>
                        <w:bottom w:val="none" w:sz="0" w:space="0" w:color="auto"/>
                        <w:right w:val="none" w:sz="0" w:space="0" w:color="auto"/>
                      </w:divBdr>
                      <w:divsChild>
                        <w:div w:id="1788085525">
                          <w:marLeft w:val="0"/>
                          <w:marRight w:val="0"/>
                          <w:marTop w:val="0"/>
                          <w:marBottom w:val="0"/>
                          <w:divBdr>
                            <w:top w:val="none" w:sz="0" w:space="0" w:color="auto"/>
                            <w:left w:val="none" w:sz="0" w:space="0" w:color="auto"/>
                            <w:bottom w:val="none" w:sz="0" w:space="0" w:color="auto"/>
                            <w:right w:val="none" w:sz="0" w:space="0" w:color="auto"/>
                          </w:divBdr>
                          <w:divsChild>
                            <w:div w:id="1927379402">
                              <w:marLeft w:val="0"/>
                              <w:marRight w:val="0"/>
                              <w:marTop w:val="0"/>
                              <w:marBottom w:val="0"/>
                              <w:divBdr>
                                <w:top w:val="single" w:sz="6" w:space="0" w:color="CFCFCF"/>
                                <w:left w:val="single" w:sz="6" w:space="0" w:color="CFCFCF"/>
                                <w:bottom w:val="single" w:sz="6" w:space="0" w:color="CFCFCF"/>
                                <w:right w:val="single" w:sz="6" w:space="0" w:color="CFCFCF"/>
                              </w:divBdr>
                              <w:divsChild>
                                <w:div w:id="15498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7812">
                      <w:marLeft w:val="0"/>
                      <w:marRight w:val="0"/>
                      <w:marTop w:val="0"/>
                      <w:marBottom w:val="0"/>
                      <w:divBdr>
                        <w:top w:val="none" w:sz="0" w:space="0" w:color="auto"/>
                        <w:left w:val="none" w:sz="0" w:space="0" w:color="auto"/>
                        <w:bottom w:val="none" w:sz="0" w:space="0" w:color="auto"/>
                        <w:right w:val="none" w:sz="0" w:space="0" w:color="auto"/>
                      </w:divBdr>
                      <w:divsChild>
                        <w:div w:id="1650791089">
                          <w:marLeft w:val="0"/>
                          <w:marRight w:val="0"/>
                          <w:marTop w:val="0"/>
                          <w:marBottom w:val="0"/>
                          <w:divBdr>
                            <w:top w:val="none" w:sz="0" w:space="0" w:color="auto"/>
                            <w:left w:val="none" w:sz="0" w:space="0" w:color="auto"/>
                            <w:bottom w:val="none" w:sz="0" w:space="0" w:color="auto"/>
                            <w:right w:val="none" w:sz="0" w:space="0" w:color="auto"/>
                          </w:divBdr>
                          <w:divsChild>
                            <w:div w:id="289946194">
                              <w:marLeft w:val="0"/>
                              <w:marRight w:val="0"/>
                              <w:marTop w:val="0"/>
                              <w:marBottom w:val="0"/>
                              <w:divBdr>
                                <w:top w:val="none" w:sz="0" w:space="0" w:color="auto"/>
                                <w:left w:val="none" w:sz="0" w:space="0" w:color="auto"/>
                                <w:bottom w:val="none" w:sz="0" w:space="0" w:color="auto"/>
                                <w:right w:val="none" w:sz="0" w:space="0" w:color="auto"/>
                              </w:divBdr>
                              <w:divsChild>
                                <w:div w:id="9704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2877">
                  <w:marLeft w:val="0"/>
                  <w:marRight w:val="0"/>
                  <w:marTop w:val="0"/>
                  <w:marBottom w:val="0"/>
                  <w:divBdr>
                    <w:top w:val="none" w:sz="0" w:space="0" w:color="auto"/>
                    <w:left w:val="none" w:sz="0" w:space="0" w:color="auto"/>
                    <w:bottom w:val="none" w:sz="0" w:space="0" w:color="auto"/>
                    <w:right w:val="none" w:sz="0" w:space="0" w:color="auto"/>
                  </w:divBdr>
                  <w:divsChild>
                    <w:div w:id="1752043190">
                      <w:marLeft w:val="0"/>
                      <w:marRight w:val="0"/>
                      <w:marTop w:val="0"/>
                      <w:marBottom w:val="0"/>
                      <w:divBdr>
                        <w:top w:val="none" w:sz="0" w:space="0" w:color="auto"/>
                        <w:left w:val="none" w:sz="0" w:space="0" w:color="auto"/>
                        <w:bottom w:val="none" w:sz="0" w:space="0" w:color="auto"/>
                        <w:right w:val="none" w:sz="0" w:space="0" w:color="auto"/>
                      </w:divBdr>
                      <w:divsChild>
                        <w:div w:id="2032366619">
                          <w:marLeft w:val="0"/>
                          <w:marRight w:val="0"/>
                          <w:marTop w:val="0"/>
                          <w:marBottom w:val="0"/>
                          <w:divBdr>
                            <w:top w:val="none" w:sz="0" w:space="0" w:color="auto"/>
                            <w:left w:val="none" w:sz="0" w:space="0" w:color="auto"/>
                            <w:bottom w:val="none" w:sz="0" w:space="0" w:color="auto"/>
                            <w:right w:val="none" w:sz="0" w:space="0" w:color="auto"/>
                          </w:divBdr>
                          <w:divsChild>
                            <w:div w:id="861210708">
                              <w:marLeft w:val="0"/>
                              <w:marRight w:val="0"/>
                              <w:marTop w:val="0"/>
                              <w:marBottom w:val="0"/>
                              <w:divBdr>
                                <w:top w:val="single" w:sz="6" w:space="0" w:color="CFCFCF"/>
                                <w:left w:val="single" w:sz="6" w:space="0" w:color="CFCFCF"/>
                                <w:bottom w:val="single" w:sz="6" w:space="0" w:color="CFCFCF"/>
                                <w:right w:val="single" w:sz="6" w:space="0" w:color="CFCFCF"/>
                              </w:divBdr>
                              <w:divsChild>
                                <w:div w:id="16247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0916">
                      <w:marLeft w:val="0"/>
                      <w:marRight w:val="0"/>
                      <w:marTop w:val="0"/>
                      <w:marBottom w:val="0"/>
                      <w:divBdr>
                        <w:top w:val="none" w:sz="0" w:space="0" w:color="auto"/>
                        <w:left w:val="none" w:sz="0" w:space="0" w:color="auto"/>
                        <w:bottom w:val="none" w:sz="0" w:space="0" w:color="auto"/>
                        <w:right w:val="none" w:sz="0" w:space="0" w:color="auto"/>
                      </w:divBdr>
                      <w:divsChild>
                        <w:div w:id="1736270149">
                          <w:marLeft w:val="0"/>
                          <w:marRight w:val="0"/>
                          <w:marTop w:val="0"/>
                          <w:marBottom w:val="0"/>
                          <w:divBdr>
                            <w:top w:val="none" w:sz="0" w:space="0" w:color="auto"/>
                            <w:left w:val="none" w:sz="0" w:space="0" w:color="auto"/>
                            <w:bottom w:val="none" w:sz="0" w:space="0" w:color="auto"/>
                            <w:right w:val="none" w:sz="0" w:space="0" w:color="auto"/>
                          </w:divBdr>
                          <w:divsChild>
                            <w:div w:id="243346277">
                              <w:marLeft w:val="0"/>
                              <w:marRight w:val="0"/>
                              <w:marTop w:val="0"/>
                              <w:marBottom w:val="0"/>
                              <w:divBdr>
                                <w:top w:val="none" w:sz="0" w:space="0" w:color="auto"/>
                                <w:left w:val="none" w:sz="0" w:space="0" w:color="auto"/>
                                <w:bottom w:val="none" w:sz="0" w:space="0" w:color="auto"/>
                                <w:right w:val="none" w:sz="0" w:space="0" w:color="auto"/>
                              </w:divBdr>
                              <w:divsChild>
                                <w:div w:id="19558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41551">
                  <w:marLeft w:val="0"/>
                  <w:marRight w:val="0"/>
                  <w:marTop w:val="0"/>
                  <w:marBottom w:val="0"/>
                  <w:divBdr>
                    <w:top w:val="none" w:sz="0" w:space="0" w:color="auto"/>
                    <w:left w:val="none" w:sz="0" w:space="0" w:color="auto"/>
                    <w:bottom w:val="none" w:sz="0" w:space="0" w:color="auto"/>
                    <w:right w:val="none" w:sz="0" w:space="0" w:color="auto"/>
                  </w:divBdr>
                  <w:divsChild>
                    <w:div w:id="504126673">
                      <w:marLeft w:val="0"/>
                      <w:marRight w:val="0"/>
                      <w:marTop w:val="0"/>
                      <w:marBottom w:val="0"/>
                      <w:divBdr>
                        <w:top w:val="none" w:sz="0" w:space="0" w:color="auto"/>
                        <w:left w:val="none" w:sz="0" w:space="0" w:color="auto"/>
                        <w:bottom w:val="none" w:sz="0" w:space="0" w:color="auto"/>
                        <w:right w:val="none" w:sz="0" w:space="0" w:color="auto"/>
                      </w:divBdr>
                      <w:divsChild>
                        <w:div w:id="1033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31">
                  <w:marLeft w:val="0"/>
                  <w:marRight w:val="0"/>
                  <w:marTop w:val="0"/>
                  <w:marBottom w:val="0"/>
                  <w:divBdr>
                    <w:top w:val="none" w:sz="0" w:space="0" w:color="auto"/>
                    <w:left w:val="none" w:sz="0" w:space="0" w:color="auto"/>
                    <w:bottom w:val="none" w:sz="0" w:space="0" w:color="auto"/>
                    <w:right w:val="none" w:sz="0" w:space="0" w:color="auto"/>
                  </w:divBdr>
                  <w:divsChild>
                    <w:div w:id="75908477">
                      <w:marLeft w:val="0"/>
                      <w:marRight w:val="0"/>
                      <w:marTop w:val="0"/>
                      <w:marBottom w:val="0"/>
                      <w:divBdr>
                        <w:top w:val="none" w:sz="0" w:space="0" w:color="auto"/>
                        <w:left w:val="none" w:sz="0" w:space="0" w:color="auto"/>
                        <w:bottom w:val="none" w:sz="0" w:space="0" w:color="auto"/>
                        <w:right w:val="none" w:sz="0" w:space="0" w:color="auto"/>
                      </w:divBdr>
                      <w:divsChild>
                        <w:div w:id="141822783">
                          <w:marLeft w:val="0"/>
                          <w:marRight w:val="0"/>
                          <w:marTop w:val="0"/>
                          <w:marBottom w:val="0"/>
                          <w:divBdr>
                            <w:top w:val="none" w:sz="0" w:space="0" w:color="auto"/>
                            <w:left w:val="none" w:sz="0" w:space="0" w:color="auto"/>
                            <w:bottom w:val="none" w:sz="0" w:space="0" w:color="auto"/>
                            <w:right w:val="none" w:sz="0" w:space="0" w:color="auto"/>
                          </w:divBdr>
                          <w:divsChild>
                            <w:div w:id="2012562977">
                              <w:marLeft w:val="0"/>
                              <w:marRight w:val="0"/>
                              <w:marTop w:val="0"/>
                              <w:marBottom w:val="0"/>
                              <w:divBdr>
                                <w:top w:val="single" w:sz="6" w:space="0" w:color="CFCFCF"/>
                                <w:left w:val="single" w:sz="6" w:space="0" w:color="CFCFCF"/>
                                <w:bottom w:val="single" w:sz="6" w:space="0" w:color="CFCFCF"/>
                                <w:right w:val="single" w:sz="6" w:space="0" w:color="CFCFCF"/>
                              </w:divBdr>
                              <w:divsChild>
                                <w:div w:id="1435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4908">
                      <w:marLeft w:val="0"/>
                      <w:marRight w:val="0"/>
                      <w:marTop w:val="0"/>
                      <w:marBottom w:val="0"/>
                      <w:divBdr>
                        <w:top w:val="none" w:sz="0" w:space="0" w:color="auto"/>
                        <w:left w:val="none" w:sz="0" w:space="0" w:color="auto"/>
                        <w:bottom w:val="none" w:sz="0" w:space="0" w:color="auto"/>
                        <w:right w:val="none" w:sz="0" w:space="0" w:color="auto"/>
                      </w:divBdr>
                      <w:divsChild>
                        <w:div w:id="936213544">
                          <w:marLeft w:val="0"/>
                          <w:marRight w:val="0"/>
                          <w:marTop w:val="0"/>
                          <w:marBottom w:val="0"/>
                          <w:divBdr>
                            <w:top w:val="none" w:sz="0" w:space="0" w:color="auto"/>
                            <w:left w:val="none" w:sz="0" w:space="0" w:color="auto"/>
                            <w:bottom w:val="none" w:sz="0" w:space="0" w:color="auto"/>
                            <w:right w:val="none" w:sz="0" w:space="0" w:color="auto"/>
                          </w:divBdr>
                          <w:divsChild>
                            <w:div w:id="16896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9368">
                  <w:marLeft w:val="0"/>
                  <w:marRight w:val="0"/>
                  <w:marTop w:val="0"/>
                  <w:marBottom w:val="0"/>
                  <w:divBdr>
                    <w:top w:val="none" w:sz="0" w:space="0" w:color="auto"/>
                    <w:left w:val="none" w:sz="0" w:space="0" w:color="auto"/>
                    <w:bottom w:val="none" w:sz="0" w:space="0" w:color="auto"/>
                    <w:right w:val="none" w:sz="0" w:space="0" w:color="auto"/>
                  </w:divBdr>
                  <w:divsChild>
                    <w:div w:id="1704790356">
                      <w:marLeft w:val="0"/>
                      <w:marRight w:val="0"/>
                      <w:marTop w:val="0"/>
                      <w:marBottom w:val="0"/>
                      <w:divBdr>
                        <w:top w:val="none" w:sz="0" w:space="0" w:color="auto"/>
                        <w:left w:val="none" w:sz="0" w:space="0" w:color="auto"/>
                        <w:bottom w:val="none" w:sz="0" w:space="0" w:color="auto"/>
                        <w:right w:val="none" w:sz="0" w:space="0" w:color="auto"/>
                      </w:divBdr>
                      <w:divsChild>
                        <w:div w:id="596251338">
                          <w:marLeft w:val="0"/>
                          <w:marRight w:val="0"/>
                          <w:marTop w:val="0"/>
                          <w:marBottom w:val="0"/>
                          <w:divBdr>
                            <w:top w:val="none" w:sz="0" w:space="0" w:color="auto"/>
                            <w:left w:val="none" w:sz="0" w:space="0" w:color="auto"/>
                            <w:bottom w:val="none" w:sz="0" w:space="0" w:color="auto"/>
                            <w:right w:val="none" w:sz="0" w:space="0" w:color="auto"/>
                          </w:divBdr>
                          <w:divsChild>
                            <w:div w:id="353269312">
                              <w:marLeft w:val="0"/>
                              <w:marRight w:val="0"/>
                              <w:marTop w:val="0"/>
                              <w:marBottom w:val="0"/>
                              <w:divBdr>
                                <w:top w:val="single" w:sz="6" w:space="0" w:color="CFCFCF"/>
                                <w:left w:val="single" w:sz="6" w:space="0" w:color="CFCFCF"/>
                                <w:bottom w:val="single" w:sz="6" w:space="0" w:color="CFCFCF"/>
                                <w:right w:val="single" w:sz="6" w:space="0" w:color="CFCFCF"/>
                              </w:divBdr>
                              <w:divsChild>
                                <w:div w:id="806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65">
                      <w:marLeft w:val="0"/>
                      <w:marRight w:val="0"/>
                      <w:marTop w:val="0"/>
                      <w:marBottom w:val="0"/>
                      <w:divBdr>
                        <w:top w:val="none" w:sz="0" w:space="0" w:color="auto"/>
                        <w:left w:val="none" w:sz="0" w:space="0" w:color="auto"/>
                        <w:bottom w:val="none" w:sz="0" w:space="0" w:color="auto"/>
                        <w:right w:val="none" w:sz="0" w:space="0" w:color="auto"/>
                      </w:divBdr>
                      <w:divsChild>
                        <w:div w:id="1704135574">
                          <w:marLeft w:val="0"/>
                          <w:marRight w:val="0"/>
                          <w:marTop w:val="0"/>
                          <w:marBottom w:val="0"/>
                          <w:divBdr>
                            <w:top w:val="none" w:sz="0" w:space="0" w:color="auto"/>
                            <w:left w:val="none" w:sz="0" w:space="0" w:color="auto"/>
                            <w:bottom w:val="none" w:sz="0" w:space="0" w:color="auto"/>
                            <w:right w:val="none" w:sz="0" w:space="0" w:color="auto"/>
                          </w:divBdr>
                          <w:divsChild>
                            <w:div w:id="14587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10141">
                  <w:marLeft w:val="0"/>
                  <w:marRight w:val="0"/>
                  <w:marTop w:val="0"/>
                  <w:marBottom w:val="0"/>
                  <w:divBdr>
                    <w:top w:val="none" w:sz="0" w:space="0" w:color="auto"/>
                    <w:left w:val="none" w:sz="0" w:space="0" w:color="auto"/>
                    <w:bottom w:val="none" w:sz="0" w:space="0" w:color="auto"/>
                    <w:right w:val="none" w:sz="0" w:space="0" w:color="auto"/>
                  </w:divBdr>
                  <w:divsChild>
                    <w:div w:id="1746563288">
                      <w:marLeft w:val="0"/>
                      <w:marRight w:val="0"/>
                      <w:marTop w:val="0"/>
                      <w:marBottom w:val="0"/>
                      <w:divBdr>
                        <w:top w:val="none" w:sz="0" w:space="0" w:color="auto"/>
                        <w:left w:val="none" w:sz="0" w:space="0" w:color="auto"/>
                        <w:bottom w:val="none" w:sz="0" w:space="0" w:color="auto"/>
                        <w:right w:val="none" w:sz="0" w:space="0" w:color="auto"/>
                      </w:divBdr>
                      <w:divsChild>
                        <w:div w:id="19826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089">
                  <w:marLeft w:val="0"/>
                  <w:marRight w:val="0"/>
                  <w:marTop w:val="0"/>
                  <w:marBottom w:val="0"/>
                  <w:divBdr>
                    <w:top w:val="none" w:sz="0" w:space="0" w:color="auto"/>
                    <w:left w:val="none" w:sz="0" w:space="0" w:color="auto"/>
                    <w:bottom w:val="none" w:sz="0" w:space="0" w:color="auto"/>
                    <w:right w:val="none" w:sz="0" w:space="0" w:color="auto"/>
                  </w:divBdr>
                  <w:divsChild>
                    <w:div w:id="1370454291">
                      <w:marLeft w:val="0"/>
                      <w:marRight w:val="0"/>
                      <w:marTop w:val="0"/>
                      <w:marBottom w:val="0"/>
                      <w:divBdr>
                        <w:top w:val="none" w:sz="0" w:space="0" w:color="auto"/>
                        <w:left w:val="none" w:sz="0" w:space="0" w:color="auto"/>
                        <w:bottom w:val="none" w:sz="0" w:space="0" w:color="auto"/>
                        <w:right w:val="none" w:sz="0" w:space="0" w:color="auto"/>
                      </w:divBdr>
                      <w:divsChild>
                        <w:div w:id="1509519820">
                          <w:marLeft w:val="0"/>
                          <w:marRight w:val="0"/>
                          <w:marTop w:val="0"/>
                          <w:marBottom w:val="0"/>
                          <w:divBdr>
                            <w:top w:val="none" w:sz="0" w:space="0" w:color="auto"/>
                            <w:left w:val="none" w:sz="0" w:space="0" w:color="auto"/>
                            <w:bottom w:val="none" w:sz="0" w:space="0" w:color="auto"/>
                            <w:right w:val="none" w:sz="0" w:space="0" w:color="auto"/>
                          </w:divBdr>
                          <w:divsChild>
                            <w:div w:id="261111241">
                              <w:marLeft w:val="0"/>
                              <w:marRight w:val="0"/>
                              <w:marTop w:val="0"/>
                              <w:marBottom w:val="0"/>
                              <w:divBdr>
                                <w:top w:val="single" w:sz="6" w:space="0" w:color="CFCFCF"/>
                                <w:left w:val="single" w:sz="6" w:space="0" w:color="CFCFCF"/>
                                <w:bottom w:val="single" w:sz="6" w:space="0" w:color="CFCFCF"/>
                                <w:right w:val="single" w:sz="6" w:space="0" w:color="CFCFCF"/>
                              </w:divBdr>
                              <w:divsChild>
                                <w:div w:id="6894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682">
                      <w:marLeft w:val="0"/>
                      <w:marRight w:val="0"/>
                      <w:marTop w:val="0"/>
                      <w:marBottom w:val="0"/>
                      <w:divBdr>
                        <w:top w:val="none" w:sz="0" w:space="0" w:color="auto"/>
                        <w:left w:val="none" w:sz="0" w:space="0" w:color="auto"/>
                        <w:bottom w:val="none" w:sz="0" w:space="0" w:color="auto"/>
                        <w:right w:val="none" w:sz="0" w:space="0" w:color="auto"/>
                      </w:divBdr>
                      <w:divsChild>
                        <w:div w:id="81218072">
                          <w:marLeft w:val="0"/>
                          <w:marRight w:val="0"/>
                          <w:marTop w:val="0"/>
                          <w:marBottom w:val="0"/>
                          <w:divBdr>
                            <w:top w:val="none" w:sz="0" w:space="0" w:color="auto"/>
                            <w:left w:val="none" w:sz="0" w:space="0" w:color="auto"/>
                            <w:bottom w:val="none" w:sz="0" w:space="0" w:color="auto"/>
                            <w:right w:val="none" w:sz="0" w:space="0" w:color="auto"/>
                          </w:divBdr>
                          <w:divsChild>
                            <w:div w:id="1953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526">
                  <w:marLeft w:val="0"/>
                  <w:marRight w:val="0"/>
                  <w:marTop w:val="0"/>
                  <w:marBottom w:val="0"/>
                  <w:divBdr>
                    <w:top w:val="none" w:sz="0" w:space="0" w:color="auto"/>
                    <w:left w:val="none" w:sz="0" w:space="0" w:color="auto"/>
                    <w:bottom w:val="none" w:sz="0" w:space="0" w:color="auto"/>
                    <w:right w:val="none" w:sz="0" w:space="0" w:color="auto"/>
                  </w:divBdr>
                  <w:divsChild>
                    <w:div w:id="1638025433">
                      <w:marLeft w:val="0"/>
                      <w:marRight w:val="0"/>
                      <w:marTop w:val="0"/>
                      <w:marBottom w:val="0"/>
                      <w:divBdr>
                        <w:top w:val="none" w:sz="0" w:space="0" w:color="auto"/>
                        <w:left w:val="none" w:sz="0" w:space="0" w:color="auto"/>
                        <w:bottom w:val="none" w:sz="0" w:space="0" w:color="auto"/>
                        <w:right w:val="none" w:sz="0" w:space="0" w:color="auto"/>
                      </w:divBdr>
                      <w:divsChild>
                        <w:div w:id="846558372">
                          <w:marLeft w:val="0"/>
                          <w:marRight w:val="0"/>
                          <w:marTop w:val="0"/>
                          <w:marBottom w:val="0"/>
                          <w:divBdr>
                            <w:top w:val="none" w:sz="0" w:space="0" w:color="auto"/>
                            <w:left w:val="none" w:sz="0" w:space="0" w:color="auto"/>
                            <w:bottom w:val="none" w:sz="0" w:space="0" w:color="auto"/>
                            <w:right w:val="none" w:sz="0" w:space="0" w:color="auto"/>
                          </w:divBdr>
                          <w:divsChild>
                            <w:div w:id="534971070">
                              <w:marLeft w:val="0"/>
                              <w:marRight w:val="0"/>
                              <w:marTop w:val="0"/>
                              <w:marBottom w:val="0"/>
                              <w:divBdr>
                                <w:top w:val="single" w:sz="6" w:space="0" w:color="CFCFCF"/>
                                <w:left w:val="single" w:sz="6" w:space="0" w:color="CFCFCF"/>
                                <w:bottom w:val="single" w:sz="6" w:space="0" w:color="CFCFCF"/>
                                <w:right w:val="single" w:sz="6" w:space="0" w:color="CFCFCF"/>
                              </w:divBdr>
                              <w:divsChild>
                                <w:div w:id="7378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431">
                      <w:marLeft w:val="0"/>
                      <w:marRight w:val="0"/>
                      <w:marTop w:val="0"/>
                      <w:marBottom w:val="0"/>
                      <w:divBdr>
                        <w:top w:val="none" w:sz="0" w:space="0" w:color="auto"/>
                        <w:left w:val="none" w:sz="0" w:space="0" w:color="auto"/>
                        <w:bottom w:val="none" w:sz="0" w:space="0" w:color="auto"/>
                        <w:right w:val="none" w:sz="0" w:space="0" w:color="auto"/>
                      </w:divBdr>
                      <w:divsChild>
                        <w:div w:id="366491080">
                          <w:marLeft w:val="0"/>
                          <w:marRight w:val="0"/>
                          <w:marTop w:val="0"/>
                          <w:marBottom w:val="0"/>
                          <w:divBdr>
                            <w:top w:val="none" w:sz="0" w:space="0" w:color="auto"/>
                            <w:left w:val="none" w:sz="0" w:space="0" w:color="auto"/>
                            <w:bottom w:val="none" w:sz="0" w:space="0" w:color="auto"/>
                            <w:right w:val="none" w:sz="0" w:space="0" w:color="auto"/>
                          </w:divBdr>
                          <w:divsChild>
                            <w:div w:id="14011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1657">
                  <w:marLeft w:val="0"/>
                  <w:marRight w:val="0"/>
                  <w:marTop w:val="0"/>
                  <w:marBottom w:val="0"/>
                  <w:divBdr>
                    <w:top w:val="none" w:sz="0" w:space="0" w:color="auto"/>
                    <w:left w:val="none" w:sz="0" w:space="0" w:color="auto"/>
                    <w:bottom w:val="none" w:sz="0" w:space="0" w:color="auto"/>
                    <w:right w:val="none" w:sz="0" w:space="0" w:color="auto"/>
                  </w:divBdr>
                  <w:divsChild>
                    <w:div w:id="1402412136">
                      <w:marLeft w:val="0"/>
                      <w:marRight w:val="0"/>
                      <w:marTop w:val="0"/>
                      <w:marBottom w:val="0"/>
                      <w:divBdr>
                        <w:top w:val="none" w:sz="0" w:space="0" w:color="auto"/>
                        <w:left w:val="none" w:sz="0" w:space="0" w:color="auto"/>
                        <w:bottom w:val="none" w:sz="0" w:space="0" w:color="auto"/>
                        <w:right w:val="none" w:sz="0" w:space="0" w:color="auto"/>
                      </w:divBdr>
                      <w:divsChild>
                        <w:div w:id="1182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2845">
                  <w:marLeft w:val="0"/>
                  <w:marRight w:val="0"/>
                  <w:marTop w:val="0"/>
                  <w:marBottom w:val="0"/>
                  <w:divBdr>
                    <w:top w:val="none" w:sz="0" w:space="0" w:color="auto"/>
                    <w:left w:val="none" w:sz="0" w:space="0" w:color="auto"/>
                    <w:bottom w:val="none" w:sz="0" w:space="0" w:color="auto"/>
                    <w:right w:val="none" w:sz="0" w:space="0" w:color="auto"/>
                  </w:divBdr>
                  <w:divsChild>
                    <w:div w:id="74742938">
                      <w:marLeft w:val="0"/>
                      <w:marRight w:val="0"/>
                      <w:marTop w:val="0"/>
                      <w:marBottom w:val="0"/>
                      <w:divBdr>
                        <w:top w:val="none" w:sz="0" w:space="0" w:color="auto"/>
                        <w:left w:val="none" w:sz="0" w:space="0" w:color="auto"/>
                        <w:bottom w:val="none" w:sz="0" w:space="0" w:color="auto"/>
                        <w:right w:val="none" w:sz="0" w:space="0" w:color="auto"/>
                      </w:divBdr>
                      <w:divsChild>
                        <w:div w:id="102383624">
                          <w:marLeft w:val="0"/>
                          <w:marRight w:val="0"/>
                          <w:marTop w:val="0"/>
                          <w:marBottom w:val="0"/>
                          <w:divBdr>
                            <w:top w:val="none" w:sz="0" w:space="0" w:color="auto"/>
                            <w:left w:val="none" w:sz="0" w:space="0" w:color="auto"/>
                            <w:bottom w:val="none" w:sz="0" w:space="0" w:color="auto"/>
                            <w:right w:val="none" w:sz="0" w:space="0" w:color="auto"/>
                          </w:divBdr>
                          <w:divsChild>
                            <w:div w:id="1520852568">
                              <w:marLeft w:val="0"/>
                              <w:marRight w:val="0"/>
                              <w:marTop w:val="0"/>
                              <w:marBottom w:val="0"/>
                              <w:divBdr>
                                <w:top w:val="single" w:sz="6" w:space="0" w:color="CFCFCF"/>
                                <w:left w:val="single" w:sz="6" w:space="0" w:color="CFCFCF"/>
                                <w:bottom w:val="single" w:sz="6" w:space="0" w:color="CFCFCF"/>
                                <w:right w:val="single" w:sz="6" w:space="0" w:color="CFCFCF"/>
                              </w:divBdr>
                              <w:divsChild>
                                <w:div w:id="9180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057">
                      <w:marLeft w:val="0"/>
                      <w:marRight w:val="0"/>
                      <w:marTop w:val="0"/>
                      <w:marBottom w:val="0"/>
                      <w:divBdr>
                        <w:top w:val="none" w:sz="0" w:space="0" w:color="auto"/>
                        <w:left w:val="none" w:sz="0" w:space="0" w:color="auto"/>
                        <w:bottom w:val="none" w:sz="0" w:space="0" w:color="auto"/>
                        <w:right w:val="none" w:sz="0" w:space="0" w:color="auto"/>
                      </w:divBdr>
                      <w:divsChild>
                        <w:div w:id="1842817964">
                          <w:marLeft w:val="0"/>
                          <w:marRight w:val="0"/>
                          <w:marTop w:val="0"/>
                          <w:marBottom w:val="0"/>
                          <w:divBdr>
                            <w:top w:val="none" w:sz="0" w:space="0" w:color="auto"/>
                            <w:left w:val="none" w:sz="0" w:space="0" w:color="auto"/>
                            <w:bottom w:val="none" w:sz="0" w:space="0" w:color="auto"/>
                            <w:right w:val="none" w:sz="0" w:space="0" w:color="auto"/>
                          </w:divBdr>
                          <w:divsChild>
                            <w:div w:id="1853763757">
                              <w:marLeft w:val="0"/>
                              <w:marRight w:val="0"/>
                              <w:marTop w:val="0"/>
                              <w:marBottom w:val="0"/>
                              <w:divBdr>
                                <w:top w:val="none" w:sz="0" w:space="0" w:color="auto"/>
                                <w:left w:val="none" w:sz="0" w:space="0" w:color="auto"/>
                                <w:bottom w:val="none" w:sz="0" w:space="0" w:color="auto"/>
                                <w:right w:val="none" w:sz="0" w:space="0" w:color="auto"/>
                              </w:divBdr>
                              <w:divsChild>
                                <w:div w:id="11963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7513">
                  <w:marLeft w:val="0"/>
                  <w:marRight w:val="0"/>
                  <w:marTop w:val="0"/>
                  <w:marBottom w:val="0"/>
                  <w:divBdr>
                    <w:top w:val="none" w:sz="0" w:space="0" w:color="auto"/>
                    <w:left w:val="none" w:sz="0" w:space="0" w:color="auto"/>
                    <w:bottom w:val="none" w:sz="0" w:space="0" w:color="auto"/>
                    <w:right w:val="none" w:sz="0" w:space="0" w:color="auto"/>
                  </w:divBdr>
                  <w:divsChild>
                    <w:div w:id="1542210829">
                      <w:marLeft w:val="0"/>
                      <w:marRight w:val="0"/>
                      <w:marTop w:val="0"/>
                      <w:marBottom w:val="0"/>
                      <w:divBdr>
                        <w:top w:val="none" w:sz="0" w:space="0" w:color="auto"/>
                        <w:left w:val="none" w:sz="0" w:space="0" w:color="auto"/>
                        <w:bottom w:val="none" w:sz="0" w:space="0" w:color="auto"/>
                        <w:right w:val="none" w:sz="0" w:space="0" w:color="auto"/>
                      </w:divBdr>
                      <w:divsChild>
                        <w:div w:id="1737780150">
                          <w:marLeft w:val="0"/>
                          <w:marRight w:val="0"/>
                          <w:marTop w:val="0"/>
                          <w:marBottom w:val="0"/>
                          <w:divBdr>
                            <w:top w:val="none" w:sz="0" w:space="0" w:color="auto"/>
                            <w:left w:val="none" w:sz="0" w:space="0" w:color="auto"/>
                            <w:bottom w:val="none" w:sz="0" w:space="0" w:color="auto"/>
                            <w:right w:val="none" w:sz="0" w:space="0" w:color="auto"/>
                          </w:divBdr>
                          <w:divsChild>
                            <w:div w:id="1348559361">
                              <w:marLeft w:val="0"/>
                              <w:marRight w:val="0"/>
                              <w:marTop w:val="0"/>
                              <w:marBottom w:val="0"/>
                              <w:divBdr>
                                <w:top w:val="single" w:sz="6" w:space="0" w:color="CFCFCF"/>
                                <w:left w:val="single" w:sz="6" w:space="0" w:color="CFCFCF"/>
                                <w:bottom w:val="single" w:sz="6" w:space="0" w:color="CFCFCF"/>
                                <w:right w:val="single" w:sz="6" w:space="0" w:color="CFCFCF"/>
                              </w:divBdr>
                              <w:divsChild>
                                <w:div w:id="1833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3668">
                      <w:marLeft w:val="0"/>
                      <w:marRight w:val="0"/>
                      <w:marTop w:val="0"/>
                      <w:marBottom w:val="0"/>
                      <w:divBdr>
                        <w:top w:val="none" w:sz="0" w:space="0" w:color="auto"/>
                        <w:left w:val="none" w:sz="0" w:space="0" w:color="auto"/>
                        <w:bottom w:val="none" w:sz="0" w:space="0" w:color="auto"/>
                        <w:right w:val="none" w:sz="0" w:space="0" w:color="auto"/>
                      </w:divBdr>
                      <w:divsChild>
                        <w:div w:id="1382024579">
                          <w:marLeft w:val="0"/>
                          <w:marRight w:val="0"/>
                          <w:marTop w:val="0"/>
                          <w:marBottom w:val="0"/>
                          <w:divBdr>
                            <w:top w:val="none" w:sz="0" w:space="0" w:color="auto"/>
                            <w:left w:val="none" w:sz="0" w:space="0" w:color="auto"/>
                            <w:bottom w:val="none" w:sz="0" w:space="0" w:color="auto"/>
                            <w:right w:val="none" w:sz="0" w:space="0" w:color="auto"/>
                          </w:divBdr>
                          <w:divsChild>
                            <w:div w:id="854538119">
                              <w:marLeft w:val="0"/>
                              <w:marRight w:val="0"/>
                              <w:marTop w:val="0"/>
                              <w:marBottom w:val="0"/>
                              <w:divBdr>
                                <w:top w:val="none" w:sz="0" w:space="0" w:color="auto"/>
                                <w:left w:val="none" w:sz="0" w:space="0" w:color="auto"/>
                                <w:bottom w:val="none" w:sz="0" w:space="0" w:color="auto"/>
                                <w:right w:val="none" w:sz="0" w:space="0" w:color="auto"/>
                              </w:divBdr>
                              <w:divsChild>
                                <w:div w:id="3781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94488">
                  <w:marLeft w:val="0"/>
                  <w:marRight w:val="0"/>
                  <w:marTop w:val="0"/>
                  <w:marBottom w:val="0"/>
                  <w:divBdr>
                    <w:top w:val="none" w:sz="0" w:space="0" w:color="auto"/>
                    <w:left w:val="none" w:sz="0" w:space="0" w:color="auto"/>
                    <w:bottom w:val="none" w:sz="0" w:space="0" w:color="auto"/>
                    <w:right w:val="none" w:sz="0" w:space="0" w:color="auto"/>
                  </w:divBdr>
                  <w:divsChild>
                    <w:div w:id="1056395576">
                      <w:marLeft w:val="0"/>
                      <w:marRight w:val="0"/>
                      <w:marTop w:val="0"/>
                      <w:marBottom w:val="0"/>
                      <w:divBdr>
                        <w:top w:val="none" w:sz="0" w:space="0" w:color="auto"/>
                        <w:left w:val="none" w:sz="0" w:space="0" w:color="auto"/>
                        <w:bottom w:val="none" w:sz="0" w:space="0" w:color="auto"/>
                        <w:right w:val="none" w:sz="0" w:space="0" w:color="auto"/>
                      </w:divBdr>
                      <w:divsChild>
                        <w:div w:id="1320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980">
                  <w:marLeft w:val="0"/>
                  <w:marRight w:val="0"/>
                  <w:marTop w:val="0"/>
                  <w:marBottom w:val="0"/>
                  <w:divBdr>
                    <w:top w:val="none" w:sz="0" w:space="0" w:color="auto"/>
                    <w:left w:val="none" w:sz="0" w:space="0" w:color="auto"/>
                    <w:bottom w:val="none" w:sz="0" w:space="0" w:color="auto"/>
                    <w:right w:val="none" w:sz="0" w:space="0" w:color="auto"/>
                  </w:divBdr>
                  <w:divsChild>
                    <w:div w:id="822896668">
                      <w:marLeft w:val="0"/>
                      <w:marRight w:val="0"/>
                      <w:marTop w:val="0"/>
                      <w:marBottom w:val="0"/>
                      <w:divBdr>
                        <w:top w:val="none" w:sz="0" w:space="0" w:color="auto"/>
                        <w:left w:val="none" w:sz="0" w:space="0" w:color="auto"/>
                        <w:bottom w:val="none" w:sz="0" w:space="0" w:color="auto"/>
                        <w:right w:val="none" w:sz="0" w:space="0" w:color="auto"/>
                      </w:divBdr>
                      <w:divsChild>
                        <w:div w:id="1836914230">
                          <w:marLeft w:val="0"/>
                          <w:marRight w:val="0"/>
                          <w:marTop w:val="0"/>
                          <w:marBottom w:val="0"/>
                          <w:divBdr>
                            <w:top w:val="none" w:sz="0" w:space="0" w:color="auto"/>
                            <w:left w:val="none" w:sz="0" w:space="0" w:color="auto"/>
                            <w:bottom w:val="none" w:sz="0" w:space="0" w:color="auto"/>
                            <w:right w:val="none" w:sz="0" w:space="0" w:color="auto"/>
                          </w:divBdr>
                          <w:divsChild>
                            <w:div w:id="626080635">
                              <w:marLeft w:val="0"/>
                              <w:marRight w:val="0"/>
                              <w:marTop w:val="0"/>
                              <w:marBottom w:val="0"/>
                              <w:divBdr>
                                <w:top w:val="single" w:sz="6" w:space="0" w:color="CFCFCF"/>
                                <w:left w:val="single" w:sz="6" w:space="0" w:color="CFCFCF"/>
                                <w:bottom w:val="single" w:sz="6" w:space="0" w:color="CFCFCF"/>
                                <w:right w:val="single" w:sz="6" w:space="0" w:color="CFCFCF"/>
                              </w:divBdr>
                              <w:divsChild>
                                <w:div w:id="140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6597">
                      <w:marLeft w:val="0"/>
                      <w:marRight w:val="0"/>
                      <w:marTop w:val="0"/>
                      <w:marBottom w:val="0"/>
                      <w:divBdr>
                        <w:top w:val="none" w:sz="0" w:space="0" w:color="auto"/>
                        <w:left w:val="none" w:sz="0" w:space="0" w:color="auto"/>
                        <w:bottom w:val="none" w:sz="0" w:space="0" w:color="auto"/>
                        <w:right w:val="none" w:sz="0" w:space="0" w:color="auto"/>
                      </w:divBdr>
                      <w:divsChild>
                        <w:div w:id="423495164">
                          <w:marLeft w:val="0"/>
                          <w:marRight w:val="0"/>
                          <w:marTop w:val="0"/>
                          <w:marBottom w:val="0"/>
                          <w:divBdr>
                            <w:top w:val="none" w:sz="0" w:space="0" w:color="auto"/>
                            <w:left w:val="none" w:sz="0" w:space="0" w:color="auto"/>
                            <w:bottom w:val="none" w:sz="0" w:space="0" w:color="auto"/>
                            <w:right w:val="none" w:sz="0" w:space="0" w:color="auto"/>
                          </w:divBdr>
                          <w:divsChild>
                            <w:div w:id="591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2786">
                  <w:marLeft w:val="0"/>
                  <w:marRight w:val="0"/>
                  <w:marTop w:val="0"/>
                  <w:marBottom w:val="0"/>
                  <w:divBdr>
                    <w:top w:val="none" w:sz="0" w:space="0" w:color="auto"/>
                    <w:left w:val="none" w:sz="0" w:space="0" w:color="auto"/>
                    <w:bottom w:val="none" w:sz="0" w:space="0" w:color="auto"/>
                    <w:right w:val="none" w:sz="0" w:space="0" w:color="auto"/>
                  </w:divBdr>
                  <w:divsChild>
                    <w:div w:id="632442598">
                      <w:marLeft w:val="0"/>
                      <w:marRight w:val="0"/>
                      <w:marTop w:val="0"/>
                      <w:marBottom w:val="0"/>
                      <w:divBdr>
                        <w:top w:val="none" w:sz="0" w:space="0" w:color="auto"/>
                        <w:left w:val="none" w:sz="0" w:space="0" w:color="auto"/>
                        <w:bottom w:val="none" w:sz="0" w:space="0" w:color="auto"/>
                        <w:right w:val="none" w:sz="0" w:space="0" w:color="auto"/>
                      </w:divBdr>
                      <w:divsChild>
                        <w:div w:id="230430312">
                          <w:marLeft w:val="0"/>
                          <w:marRight w:val="0"/>
                          <w:marTop w:val="0"/>
                          <w:marBottom w:val="0"/>
                          <w:divBdr>
                            <w:top w:val="none" w:sz="0" w:space="0" w:color="auto"/>
                            <w:left w:val="none" w:sz="0" w:space="0" w:color="auto"/>
                            <w:bottom w:val="none" w:sz="0" w:space="0" w:color="auto"/>
                            <w:right w:val="none" w:sz="0" w:space="0" w:color="auto"/>
                          </w:divBdr>
                          <w:divsChild>
                            <w:div w:id="504906463">
                              <w:marLeft w:val="0"/>
                              <w:marRight w:val="0"/>
                              <w:marTop w:val="0"/>
                              <w:marBottom w:val="0"/>
                              <w:divBdr>
                                <w:top w:val="single" w:sz="6" w:space="0" w:color="CFCFCF"/>
                                <w:left w:val="single" w:sz="6" w:space="0" w:color="CFCFCF"/>
                                <w:bottom w:val="single" w:sz="6" w:space="0" w:color="CFCFCF"/>
                                <w:right w:val="single" w:sz="6" w:space="0" w:color="CFCFCF"/>
                              </w:divBdr>
                              <w:divsChild>
                                <w:div w:id="118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7729">
                      <w:marLeft w:val="0"/>
                      <w:marRight w:val="0"/>
                      <w:marTop w:val="0"/>
                      <w:marBottom w:val="0"/>
                      <w:divBdr>
                        <w:top w:val="none" w:sz="0" w:space="0" w:color="auto"/>
                        <w:left w:val="none" w:sz="0" w:space="0" w:color="auto"/>
                        <w:bottom w:val="none" w:sz="0" w:space="0" w:color="auto"/>
                        <w:right w:val="none" w:sz="0" w:space="0" w:color="auto"/>
                      </w:divBdr>
                      <w:divsChild>
                        <w:div w:id="619455758">
                          <w:marLeft w:val="0"/>
                          <w:marRight w:val="0"/>
                          <w:marTop w:val="0"/>
                          <w:marBottom w:val="0"/>
                          <w:divBdr>
                            <w:top w:val="none" w:sz="0" w:space="0" w:color="auto"/>
                            <w:left w:val="none" w:sz="0" w:space="0" w:color="auto"/>
                            <w:bottom w:val="none" w:sz="0" w:space="0" w:color="auto"/>
                            <w:right w:val="none" w:sz="0" w:space="0" w:color="auto"/>
                          </w:divBdr>
                          <w:divsChild>
                            <w:div w:id="21364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04193">
                  <w:marLeft w:val="0"/>
                  <w:marRight w:val="0"/>
                  <w:marTop w:val="0"/>
                  <w:marBottom w:val="0"/>
                  <w:divBdr>
                    <w:top w:val="none" w:sz="0" w:space="0" w:color="auto"/>
                    <w:left w:val="none" w:sz="0" w:space="0" w:color="auto"/>
                    <w:bottom w:val="none" w:sz="0" w:space="0" w:color="auto"/>
                    <w:right w:val="none" w:sz="0" w:space="0" w:color="auto"/>
                  </w:divBdr>
                  <w:divsChild>
                    <w:div w:id="1452897110">
                      <w:marLeft w:val="0"/>
                      <w:marRight w:val="0"/>
                      <w:marTop w:val="0"/>
                      <w:marBottom w:val="0"/>
                      <w:divBdr>
                        <w:top w:val="none" w:sz="0" w:space="0" w:color="auto"/>
                        <w:left w:val="none" w:sz="0" w:space="0" w:color="auto"/>
                        <w:bottom w:val="none" w:sz="0" w:space="0" w:color="auto"/>
                        <w:right w:val="none" w:sz="0" w:space="0" w:color="auto"/>
                      </w:divBdr>
                      <w:divsChild>
                        <w:div w:id="482166604">
                          <w:marLeft w:val="0"/>
                          <w:marRight w:val="0"/>
                          <w:marTop w:val="0"/>
                          <w:marBottom w:val="0"/>
                          <w:divBdr>
                            <w:top w:val="none" w:sz="0" w:space="0" w:color="auto"/>
                            <w:left w:val="none" w:sz="0" w:space="0" w:color="auto"/>
                            <w:bottom w:val="none" w:sz="0" w:space="0" w:color="auto"/>
                            <w:right w:val="none" w:sz="0" w:space="0" w:color="auto"/>
                          </w:divBdr>
                          <w:divsChild>
                            <w:div w:id="1779527225">
                              <w:marLeft w:val="0"/>
                              <w:marRight w:val="0"/>
                              <w:marTop w:val="0"/>
                              <w:marBottom w:val="0"/>
                              <w:divBdr>
                                <w:top w:val="single" w:sz="6" w:space="0" w:color="CFCFCF"/>
                                <w:left w:val="single" w:sz="6" w:space="0" w:color="CFCFCF"/>
                                <w:bottom w:val="single" w:sz="6" w:space="0" w:color="CFCFCF"/>
                                <w:right w:val="single" w:sz="6" w:space="0" w:color="CFCFCF"/>
                              </w:divBdr>
                              <w:divsChild>
                                <w:div w:id="976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7191">
                      <w:marLeft w:val="0"/>
                      <w:marRight w:val="0"/>
                      <w:marTop w:val="0"/>
                      <w:marBottom w:val="0"/>
                      <w:divBdr>
                        <w:top w:val="none" w:sz="0" w:space="0" w:color="auto"/>
                        <w:left w:val="none" w:sz="0" w:space="0" w:color="auto"/>
                        <w:bottom w:val="none" w:sz="0" w:space="0" w:color="auto"/>
                        <w:right w:val="none" w:sz="0" w:space="0" w:color="auto"/>
                      </w:divBdr>
                      <w:divsChild>
                        <w:div w:id="235628353">
                          <w:marLeft w:val="0"/>
                          <w:marRight w:val="0"/>
                          <w:marTop w:val="0"/>
                          <w:marBottom w:val="0"/>
                          <w:divBdr>
                            <w:top w:val="none" w:sz="0" w:space="0" w:color="auto"/>
                            <w:left w:val="none" w:sz="0" w:space="0" w:color="auto"/>
                            <w:bottom w:val="none" w:sz="0" w:space="0" w:color="auto"/>
                            <w:right w:val="none" w:sz="0" w:space="0" w:color="auto"/>
                          </w:divBdr>
                          <w:divsChild>
                            <w:div w:id="13105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8732">
                  <w:marLeft w:val="0"/>
                  <w:marRight w:val="0"/>
                  <w:marTop w:val="0"/>
                  <w:marBottom w:val="0"/>
                  <w:divBdr>
                    <w:top w:val="none" w:sz="0" w:space="0" w:color="auto"/>
                    <w:left w:val="none" w:sz="0" w:space="0" w:color="auto"/>
                    <w:bottom w:val="none" w:sz="0" w:space="0" w:color="auto"/>
                    <w:right w:val="none" w:sz="0" w:space="0" w:color="auto"/>
                  </w:divBdr>
                  <w:divsChild>
                    <w:div w:id="755328548">
                      <w:marLeft w:val="0"/>
                      <w:marRight w:val="0"/>
                      <w:marTop w:val="0"/>
                      <w:marBottom w:val="0"/>
                      <w:divBdr>
                        <w:top w:val="none" w:sz="0" w:space="0" w:color="auto"/>
                        <w:left w:val="none" w:sz="0" w:space="0" w:color="auto"/>
                        <w:bottom w:val="none" w:sz="0" w:space="0" w:color="auto"/>
                        <w:right w:val="none" w:sz="0" w:space="0" w:color="auto"/>
                      </w:divBdr>
                      <w:divsChild>
                        <w:div w:id="656810695">
                          <w:marLeft w:val="0"/>
                          <w:marRight w:val="0"/>
                          <w:marTop w:val="0"/>
                          <w:marBottom w:val="0"/>
                          <w:divBdr>
                            <w:top w:val="none" w:sz="0" w:space="0" w:color="auto"/>
                            <w:left w:val="none" w:sz="0" w:space="0" w:color="auto"/>
                            <w:bottom w:val="none" w:sz="0" w:space="0" w:color="auto"/>
                            <w:right w:val="none" w:sz="0" w:space="0" w:color="auto"/>
                          </w:divBdr>
                          <w:divsChild>
                            <w:div w:id="655189033">
                              <w:marLeft w:val="0"/>
                              <w:marRight w:val="0"/>
                              <w:marTop w:val="0"/>
                              <w:marBottom w:val="0"/>
                              <w:divBdr>
                                <w:top w:val="single" w:sz="6" w:space="0" w:color="CFCFCF"/>
                                <w:left w:val="single" w:sz="6" w:space="0" w:color="CFCFCF"/>
                                <w:bottom w:val="single" w:sz="6" w:space="0" w:color="CFCFCF"/>
                                <w:right w:val="single" w:sz="6" w:space="0" w:color="CFCFCF"/>
                              </w:divBdr>
                              <w:divsChild>
                                <w:div w:id="1676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79112">
                      <w:marLeft w:val="0"/>
                      <w:marRight w:val="0"/>
                      <w:marTop w:val="0"/>
                      <w:marBottom w:val="0"/>
                      <w:divBdr>
                        <w:top w:val="none" w:sz="0" w:space="0" w:color="auto"/>
                        <w:left w:val="none" w:sz="0" w:space="0" w:color="auto"/>
                        <w:bottom w:val="none" w:sz="0" w:space="0" w:color="auto"/>
                        <w:right w:val="none" w:sz="0" w:space="0" w:color="auto"/>
                      </w:divBdr>
                      <w:divsChild>
                        <w:div w:id="2062827185">
                          <w:marLeft w:val="0"/>
                          <w:marRight w:val="0"/>
                          <w:marTop w:val="0"/>
                          <w:marBottom w:val="0"/>
                          <w:divBdr>
                            <w:top w:val="none" w:sz="0" w:space="0" w:color="auto"/>
                            <w:left w:val="none" w:sz="0" w:space="0" w:color="auto"/>
                            <w:bottom w:val="none" w:sz="0" w:space="0" w:color="auto"/>
                            <w:right w:val="none" w:sz="0" w:space="0" w:color="auto"/>
                          </w:divBdr>
                          <w:divsChild>
                            <w:div w:id="3712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3466">
                  <w:marLeft w:val="0"/>
                  <w:marRight w:val="0"/>
                  <w:marTop w:val="0"/>
                  <w:marBottom w:val="0"/>
                  <w:divBdr>
                    <w:top w:val="none" w:sz="0" w:space="0" w:color="auto"/>
                    <w:left w:val="none" w:sz="0" w:space="0" w:color="auto"/>
                    <w:bottom w:val="none" w:sz="0" w:space="0" w:color="auto"/>
                    <w:right w:val="none" w:sz="0" w:space="0" w:color="auto"/>
                  </w:divBdr>
                  <w:divsChild>
                    <w:div w:id="1696611929">
                      <w:marLeft w:val="0"/>
                      <w:marRight w:val="0"/>
                      <w:marTop w:val="0"/>
                      <w:marBottom w:val="0"/>
                      <w:divBdr>
                        <w:top w:val="none" w:sz="0" w:space="0" w:color="auto"/>
                        <w:left w:val="none" w:sz="0" w:space="0" w:color="auto"/>
                        <w:bottom w:val="none" w:sz="0" w:space="0" w:color="auto"/>
                        <w:right w:val="none" w:sz="0" w:space="0" w:color="auto"/>
                      </w:divBdr>
                      <w:divsChild>
                        <w:div w:id="15727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357">
                  <w:marLeft w:val="0"/>
                  <w:marRight w:val="0"/>
                  <w:marTop w:val="0"/>
                  <w:marBottom w:val="0"/>
                  <w:divBdr>
                    <w:top w:val="none" w:sz="0" w:space="0" w:color="auto"/>
                    <w:left w:val="none" w:sz="0" w:space="0" w:color="auto"/>
                    <w:bottom w:val="none" w:sz="0" w:space="0" w:color="auto"/>
                    <w:right w:val="none" w:sz="0" w:space="0" w:color="auto"/>
                  </w:divBdr>
                  <w:divsChild>
                    <w:div w:id="2066485903">
                      <w:marLeft w:val="0"/>
                      <w:marRight w:val="0"/>
                      <w:marTop w:val="0"/>
                      <w:marBottom w:val="0"/>
                      <w:divBdr>
                        <w:top w:val="none" w:sz="0" w:space="0" w:color="auto"/>
                        <w:left w:val="none" w:sz="0" w:space="0" w:color="auto"/>
                        <w:bottom w:val="none" w:sz="0" w:space="0" w:color="auto"/>
                        <w:right w:val="none" w:sz="0" w:space="0" w:color="auto"/>
                      </w:divBdr>
                      <w:divsChild>
                        <w:div w:id="416562086">
                          <w:marLeft w:val="0"/>
                          <w:marRight w:val="0"/>
                          <w:marTop w:val="0"/>
                          <w:marBottom w:val="0"/>
                          <w:divBdr>
                            <w:top w:val="none" w:sz="0" w:space="0" w:color="auto"/>
                            <w:left w:val="none" w:sz="0" w:space="0" w:color="auto"/>
                            <w:bottom w:val="none" w:sz="0" w:space="0" w:color="auto"/>
                            <w:right w:val="none" w:sz="0" w:space="0" w:color="auto"/>
                          </w:divBdr>
                          <w:divsChild>
                            <w:div w:id="541749136">
                              <w:marLeft w:val="0"/>
                              <w:marRight w:val="0"/>
                              <w:marTop w:val="0"/>
                              <w:marBottom w:val="0"/>
                              <w:divBdr>
                                <w:top w:val="single" w:sz="6" w:space="0" w:color="CFCFCF"/>
                                <w:left w:val="single" w:sz="6" w:space="0" w:color="CFCFCF"/>
                                <w:bottom w:val="single" w:sz="6" w:space="0" w:color="CFCFCF"/>
                                <w:right w:val="single" w:sz="6" w:space="0" w:color="CFCFCF"/>
                              </w:divBdr>
                              <w:divsChild>
                                <w:div w:id="9175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8185">
                      <w:marLeft w:val="0"/>
                      <w:marRight w:val="0"/>
                      <w:marTop w:val="0"/>
                      <w:marBottom w:val="0"/>
                      <w:divBdr>
                        <w:top w:val="none" w:sz="0" w:space="0" w:color="auto"/>
                        <w:left w:val="none" w:sz="0" w:space="0" w:color="auto"/>
                        <w:bottom w:val="none" w:sz="0" w:space="0" w:color="auto"/>
                        <w:right w:val="none" w:sz="0" w:space="0" w:color="auto"/>
                      </w:divBdr>
                      <w:divsChild>
                        <w:div w:id="1568881101">
                          <w:marLeft w:val="0"/>
                          <w:marRight w:val="0"/>
                          <w:marTop w:val="0"/>
                          <w:marBottom w:val="0"/>
                          <w:divBdr>
                            <w:top w:val="none" w:sz="0" w:space="0" w:color="auto"/>
                            <w:left w:val="none" w:sz="0" w:space="0" w:color="auto"/>
                            <w:bottom w:val="none" w:sz="0" w:space="0" w:color="auto"/>
                            <w:right w:val="none" w:sz="0" w:space="0" w:color="auto"/>
                          </w:divBdr>
                          <w:divsChild>
                            <w:div w:id="143620894">
                              <w:marLeft w:val="0"/>
                              <w:marRight w:val="0"/>
                              <w:marTop w:val="0"/>
                              <w:marBottom w:val="0"/>
                              <w:divBdr>
                                <w:top w:val="none" w:sz="0" w:space="0" w:color="auto"/>
                                <w:left w:val="none" w:sz="0" w:space="0" w:color="auto"/>
                                <w:bottom w:val="none" w:sz="0" w:space="0" w:color="auto"/>
                                <w:right w:val="none" w:sz="0" w:space="0" w:color="auto"/>
                              </w:divBdr>
                              <w:divsChild>
                                <w:div w:id="357509073">
                                  <w:marLeft w:val="0"/>
                                  <w:marRight w:val="0"/>
                                  <w:marTop w:val="0"/>
                                  <w:marBottom w:val="0"/>
                                  <w:divBdr>
                                    <w:top w:val="none" w:sz="0" w:space="0" w:color="auto"/>
                                    <w:left w:val="none" w:sz="0" w:space="0" w:color="auto"/>
                                    <w:bottom w:val="none" w:sz="0" w:space="0" w:color="auto"/>
                                    <w:right w:val="none" w:sz="0" w:space="0" w:color="auto"/>
                                  </w:divBdr>
                                  <w:divsChild>
                                    <w:div w:id="1524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33597">
      <w:bodyDiv w:val="1"/>
      <w:marLeft w:val="0"/>
      <w:marRight w:val="0"/>
      <w:marTop w:val="0"/>
      <w:marBottom w:val="0"/>
      <w:divBdr>
        <w:top w:val="none" w:sz="0" w:space="0" w:color="auto"/>
        <w:left w:val="none" w:sz="0" w:space="0" w:color="auto"/>
        <w:bottom w:val="none" w:sz="0" w:space="0" w:color="auto"/>
        <w:right w:val="none" w:sz="0" w:space="0" w:color="auto"/>
      </w:divBdr>
    </w:div>
    <w:div w:id="334768623">
      <w:bodyDiv w:val="1"/>
      <w:marLeft w:val="0"/>
      <w:marRight w:val="0"/>
      <w:marTop w:val="0"/>
      <w:marBottom w:val="0"/>
      <w:divBdr>
        <w:top w:val="none" w:sz="0" w:space="0" w:color="auto"/>
        <w:left w:val="none" w:sz="0" w:space="0" w:color="auto"/>
        <w:bottom w:val="none" w:sz="0" w:space="0" w:color="auto"/>
        <w:right w:val="none" w:sz="0" w:space="0" w:color="auto"/>
      </w:divBdr>
    </w:div>
    <w:div w:id="413355937">
      <w:bodyDiv w:val="1"/>
      <w:marLeft w:val="0"/>
      <w:marRight w:val="0"/>
      <w:marTop w:val="0"/>
      <w:marBottom w:val="0"/>
      <w:divBdr>
        <w:top w:val="none" w:sz="0" w:space="0" w:color="auto"/>
        <w:left w:val="none" w:sz="0" w:space="0" w:color="auto"/>
        <w:bottom w:val="none" w:sz="0" w:space="0" w:color="auto"/>
        <w:right w:val="none" w:sz="0" w:space="0" w:color="auto"/>
      </w:divBdr>
    </w:div>
    <w:div w:id="458765520">
      <w:bodyDiv w:val="1"/>
      <w:marLeft w:val="0"/>
      <w:marRight w:val="0"/>
      <w:marTop w:val="0"/>
      <w:marBottom w:val="0"/>
      <w:divBdr>
        <w:top w:val="none" w:sz="0" w:space="0" w:color="auto"/>
        <w:left w:val="none" w:sz="0" w:space="0" w:color="auto"/>
        <w:bottom w:val="none" w:sz="0" w:space="0" w:color="auto"/>
        <w:right w:val="none" w:sz="0" w:space="0" w:color="auto"/>
      </w:divBdr>
    </w:div>
    <w:div w:id="515929149">
      <w:bodyDiv w:val="1"/>
      <w:marLeft w:val="0"/>
      <w:marRight w:val="0"/>
      <w:marTop w:val="0"/>
      <w:marBottom w:val="0"/>
      <w:divBdr>
        <w:top w:val="none" w:sz="0" w:space="0" w:color="auto"/>
        <w:left w:val="none" w:sz="0" w:space="0" w:color="auto"/>
        <w:bottom w:val="none" w:sz="0" w:space="0" w:color="auto"/>
        <w:right w:val="none" w:sz="0" w:space="0" w:color="auto"/>
      </w:divBdr>
    </w:div>
    <w:div w:id="544560833">
      <w:bodyDiv w:val="1"/>
      <w:marLeft w:val="0"/>
      <w:marRight w:val="0"/>
      <w:marTop w:val="0"/>
      <w:marBottom w:val="0"/>
      <w:divBdr>
        <w:top w:val="none" w:sz="0" w:space="0" w:color="auto"/>
        <w:left w:val="none" w:sz="0" w:space="0" w:color="auto"/>
        <w:bottom w:val="none" w:sz="0" w:space="0" w:color="auto"/>
        <w:right w:val="none" w:sz="0" w:space="0" w:color="auto"/>
      </w:divBdr>
      <w:divsChild>
        <w:div w:id="2061585157">
          <w:marLeft w:val="0"/>
          <w:marRight w:val="0"/>
          <w:marTop w:val="0"/>
          <w:marBottom w:val="0"/>
          <w:divBdr>
            <w:top w:val="none" w:sz="0" w:space="0" w:color="auto"/>
            <w:left w:val="none" w:sz="0" w:space="0" w:color="auto"/>
            <w:bottom w:val="none" w:sz="0" w:space="0" w:color="auto"/>
            <w:right w:val="none" w:sz="0" w:space="0" w:color="auto"/>
          </w:divBdr>
        </w:div>
      </w:divsChild>
    </w:div>
    <w:div w:id="664088499">
      <w:bodyDiv w:val="1"/>
      <w:marLeft w:val="0"/>
      <w:marRight w:val="0"/>
      <w:marTop w:val="0"/>
      <w:marBottom w:val="0"/>
      <w:divBdr>
        <w:top w:val="none" w:sz="0" w:space="0" w:color="auto"/>
        <w:left w:val="none" w:sz="0" w:space="0" w:color="auto"/>
        <w:bottom w:val="none" w:sz="0" w:space="0" w:color="auto"/>
        <w:right w:val="none" w:sz="0" w:space="0" w:color="auto"/>
      </w:divBdr>
    </w:div>
    <w:div w:id="691759973">
      <w:bodyDiv w:val="1"/>
      <w:marLeft w:val="0"/>
      <w:marRight w:val="0"/>
      <w:marTop w:val="0"/>
      <w:marBottom w:val="0"/>
      <w:divBdr>
        <w:top w:val="none" w:sz="0" w:space="0" w:color="auto"/>
        <w:left w:val="none" w:sz="0" w:space="0" w:color="auto"/>
        <w:bottom w:val="none" w:sz="0" w:space="0" w:color="auto"/>
        <w:right w:val="none" w:sz="0" w:space="0" w:color="auto"/>
      </w:divBdr>
    </w:div>
    <w:div w:id="781387630">
      <w:bodyDiv w:val="1"/>
      <w:marLeft w:val="0"/>
      <w:marRight w:val="0"/>
      <w:marTop w:val="0"/>
      <w:marBottom w:val="0"/>
      <w:divBdr>
        <w:top w:val="none" w:sz="0" w:space="0" w:color="auto"/>
        <w:left w:val="none" w:sz="0" w:space="0" w:color="auto"/>
        <w:bottom w:val="none" w:sz="0" w:space="0" w:color="auto"/>
        <w:right w:val="none" w:sz="0" w:space="0" w:color="auto"/>
      </w:divBdr>
    </w:div>
    <w:div w:id="925305158">
      <w:bodyDiv w:val="1"/>
      <w:marLeft w:val="0"/>
      <w:marRight w:val="0"/>
      <w:marTop w:val="0"/>
      <w:marBottom w:val="0"/>
      <w:divBdr>
        <w:top w:val="none" w:sz="0" w:space="0" w:color="auto"/>
        <w:left w:val="none" w:sz="0" w:space="0" w:color="auto"/>
        <w:bottom w:val="none" w:sz="0" w:space="0" w:color="auto"/>
        <w:right w:val="none" w:sz="0" w:space="0" w:color="auto"/>
      </w:divBdr>
    </w:div>
    <w:div w:id="985889366">
      <w:bodyDiv w:val="1"/>
      <w:marLeft w:val="0"/>
      <w:marRight w:val="0"/>
      <w:marTop w:val="0"/>
      <w:marBottom w:val="0"/>
      <w:divBdr>
        <w:top w:val="none" w:sz="0" w:space="0" w:color="auto"/>
        <w:left w:val="none" w:sz="0" w:space="0" w:color="auto"/>
        <w:bottom w:val="none" w:sz="0" w:space="0" w:color="auto"/>
        <w:right w:val="none" w:sz="0" w:space="0" w:color="auto"/>
      </w:divBdr>
    </w:div>
    <w:div w:id="1032652118">
      <w:bodyDiv w:val="1"/>
      <w:marLeft w:val="0"/>
      <w:marRight w:val="0"/>
      <w:marTop w:val="0"/>
      <w:marBottom w:val="0"/>
      <w:divBdr>
        <w:top w:val="none" w:sz="0" w:space="0" w:color="auto"/>
        <w:left w:val="none" w:sz="0" w:space="0" w:color="auto"/>
        <w:bottom w:val="none" w:sz="0" w:space="0" w:color="auto"/>
        <w:right w:val="none" w:sz="0" w:space="0" w:color="auto"/>
      </w:divBdr>
    </w:div>
    <w:div w:id="1106968959">
      <w:bodyDiv w:val="1"/>
      <w:marLeft w:val="0"/>
      <w:marRight w:val="0"/>
      <w:marTop w:val="0"/>
      <w:marBottom w:val="0"/>
      <w:divBdr>
        <w:top w:val="none" w:sz="0" w:space="0" w:color="auto"/>
        <w:left w:val="none" w:sz="0" w:space="0" w:color="auto"/>
        <w:bottom w:val="none" w:sz="0" w:space="0" w:color="auto"/>
        <w:right w:val="none" w:sz="0" w:space="0" w:color="auto"/>
      </w:divBdr>
    </w:div>
    <w:div w:id="1156603984">
      <w:bodyDiv w:val="1"/>
      <w:marLeft w:val="0"/>
      <w:marRight w:val="0"/>
      <w:marTop w:val="0"/>
      <w:marBottom w:val="0"/>
      <w:divBdr>
        <w:top w:val="none" w:sz="0" w:space="0" w:color="auto"/>
        <w:left w:val="none" w:sz="0" w:space="0" w:color="auto"/>
        <w:bottom w:val="none" w:sz="0" w:space="0" w:color="auto"/>
        <w:right w:val="none" w:sz="0" w:space="0" w:color="auto"/>
      </w:divBdr>
    </w:div>
    <w:div w:id="1220558001">
      <w:bodyDiv w:val="1"/>
      <w:marLeft w:val="0"/>
      <w:marRight w:val="0"/>
      <w:marTop w:val="0"/>
      <w:marBottom w:val="0"/>
      <w:divBdr>
        <w:top w:val="none" w:sz="0" w:space="0" w:color="auto"/>
        <w:left w:val="none" w:sz="0" w:space="0" w:color="auto"/>
        <w:bottom w:val="none" w:sz="0" w:space="0" w:color="auto"/>
        <w:right w:val="none" w:sz="0" w:space="0" w:color="auto"/>
      </w:divBdr>
    </w:div>
    <w:div w:id="1254821706">
      <w:bodyDiv w:val="1"/>
      <w:marLeft w:val="0"/>
      <w:marRight w:val="0"/>
      <w:marTop w:val="0"/>
      <w:marBottom w:val="0"/>
      <w:divBdr>
        <w:top w:val="none" w:sz="0" w:space="0" w:color="auto"/>
        <w:left w:val="none" w:sz="0" w:space="0" w:color="auto"/>
        <w:bottom w:val="none" w:sz="0" w:space="0" w:color="auto"/>
        <w:right w:val="none" w:sz="0" w:space="0" w:color="auto"/>
      </w:divBdr>
    </w:div>
    <w:div w:id="1414663229">
      <w:bodyDiv w:val="1"/>
      <w:marLeft w:val="0"/>
      <w:marRight w:val="0"/>
      <w:marTop w:val="0"/>
      <w:marBottom w:val="0"/>
      <w:divBdr>
        <w:top w:val="none" w:sz="0" w:space="0" w:color="auto"/>
        <w:left w:val="none" w:sz="0" w:space="0" w:color="auto"/>
        <w:bottom w:val="none" w:sz="0" w:space="0" w:color="auto"/>
        <w:right w:val="none" w:sz="0" w:space="0" w:color="auto"/>
      </w:divBdr>
    </w:div>
    <w:div w:id="1563249264">
      <w:bodyDiv w:val="1"/>
      <w:marLeft w:val="0"/>
      <w:marRight w:val="0"/>
      <w:marTop w:val="0"/>
      <w:marBottom w:val="0"/>
      <w:divBdr>
        <w:top w:val="none" w:sz="0" w:space="0" w:color="auto"/>
        <w:left w:val="none" w:sz="0" w:space="0" w:color="auto"/>
        <w:bottom w:val="none" w:sz="0" w:space="0" w:color="auto"/>
        <w:right w:val="none" w:sz="0" w:space="0" w:color="auto"/>
      </w:divBdr>
    </w:div>
    <w:div w:id="1701053632">
      <w:bodyDiv w:val="1"/>
      <w:marLeft w:val="0"/>
      <w:marRight w:val="0"/>
      <w:marTop w:val="0"/>
      <w:marBottom w:val="0"/>
      <w:divBdr>
        <w:top w:val="none" w:sz="0" w:space="0" w:color="auto"/>
        <w:left w:val="none" w:sz="0" w:space="0" w:color="auto"/>
        <w:bottom w:val="none" w:sz="0" w:space="0" w:color="auto"/>
        <w:right w:val="none" w:sz="0" w:space="0" w:color="auto"/>
      </w:divBdr>
    </w:div>
    <w:div w:id="1708987354">
      <w:bodyDiv w:val="1"/>
      <w:marLeft w:val="0"/>
      <w:marRight w:val="0"/>
      <w:marTop w:val="0"/>
      <w:marBottom w:val="0"/>
      <w:divBdr>
        <w:top w:val="none" w:sz="0" w:space="0" w:color="auto"/>
        <w:left w:val="none" w:sz="0" w:space="0" w:color="auto"/>
        <w:bottom w:val="none" w:sz="0" w:space="0" w:color="auto"/>
        <w:right w:val="none" w:sz="0" w:space="0" w:color="auto"/>
      </w:divBdr>
    </w:div>
    <w:div w:id="2026588460">
      <w:bodyDiv w:val="1"/>
      <w:marLeft w:val="0"/>
      <w:marRight w:val="0"/>
      <w:marTop w:val="0"/>
      <w:marBottom w:val="0"/>
      <w:divBdr>
        <w:top w:val="none" w:sz="0" w:space="0" w:color="auto"/>
        <w:left w:val="none" w:sz="0" w:space="0" w:color="auto"/>
        <w:bottom w:val="none" w:sz="0" w:space="0" w:color="auto"/>
        <w:right w:val="none" w:sz="0" w:space="0" w:color="auto"/>
      </w:divBdr>
    </w:div>
    <w:div w:id="211512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007F6E9-906C-8D42-A21A-4D63270C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Microsoft Office User</cp:lastModifiedBy>
  <cp:revision>23</cp:revision>
  <dcterms:created xsi:type="dcterms:W3CDTF">2018-02-06T20:22:00Z</dcterms:created>
  <dcterms:modified xsi:type="dcterms:W3CDTF">2018-02-06T21:08:00Z</dcterms:modified>
</cp:coreProperties>
</file>