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AE4" w:rsidRDefault="00222AE4" w:rsidP="00222AE4">
      <w:pPr>
        <w:spacing w:line="360" w:lineRule="auto"/>
        <w:jc w:val="both"/>
        <w:rPr>
          <w:rFonts w:ascii="Arial" w:hAnsi="Arial" w:cs="Arial"/>
          <w:sz w:val="20"/>
          <w:szCs w:val="20"/>
        </w:rPr>
      </w:pPr>
      <w:r>
        <w:rPr>
          <w:rFonts w:ascii="Arial" w:hAnsi="Arial" w:cs="Arial"/>
          <w:sz w:val="20"/>
          <w:szCs w:val="20"/>
        </w:rPr>
        <w:t>Conclusiones</w:t>
      </w:r>
    </w:p>
    <w:p w:rsidR="00222AE4" w:rsidRDefault="00222AE4" w:rsidP="00222AE4">
      <w:pPr>
        <w:pStyle w:val="Default"/>
        <w:spacing w:line="360" w:lineRule="auto"/>
        <w:jc w:val="both"/>
        <w:rPr>
          <w:rFonts w:ascii="Arial" w:hAnsi="Arial" w:cs="Arial"/>
          <w:sz w:val="20"/>
          <w:szCs w:val="20"/>
        </w:rPr>
      </w:pPr>
      <w:r w:rsidRPr="00FC4252">
        <w:rPr>
          <w:rFonts w:ascii="Arial" w:hAnsi="Arial" w:cs="Arial"/>
          <w:sz w:val="20"/>
          <w:szCs w:val="20"/>
        </w:rPr>
        <w:t>La investigació</w:t>
      </w:r>
      <w:r>
        <w:rPr>
          <w:rFonts w:ascii="Arial" w:hAnsi="Arial" w:cs="Arial"/>
          <w:sz w:val="20"/>
          <w:szCs w:val="20"/>
        </w:rPr>
        <w:t>n desarrollada contribuyó a ampliar el conocimiento que hay en nuestro país sobre la relación entre campañas políticas y las nuevas tecnologías digitales impulsadas por datos, a través de un ejercicio de observación de la propaganda online pagada en los dos períodos de campaña legal para la primera y segunda vuelta de la elección presidencial de 2021 en Chile.</w:t>
      </w:r>
    </w:p>
    <w:p w:rsidR="00222AE4" w:rsidRDefault="00222AE4" w:rsidP="00222AE4">
      <w:pPr>
        <w:pStyle w:val="Default"/>
        <w:spacing w:line="360" w:lineRule="auto"/>
        <w:rPr>
          <w:rFonts w:ascii="Arial" w:hAnsi="Arial" w:cs="Arial"/>
          <w:sz w:val="20"/>
          <w:szCs w:val="20"/>
        </w:rPr>
      </w:pPr>
    </w:p>
    <w:p w:rsidR="00222AE4" w:rsidRDefault="00222AE4" w:rsidP="00222AE4">
      <w:pPr>
        <w:pStyle w:val="Default"/>
        <w:spacing w:line="360" w:lineRule="auto"/>
        <w:jc w:val="both"/>
        <w:rPr>
          <w:rFonts w:ascii="Arial" w:hAnsi="Arial" w:cs="Arial"/>
          <w:sz w:val="20"/>
          <w:szCs w:val="20"/>
        </w:rPr>
      </w:pPr>
      <w:r>
        <w:rPr>
          <w:rFonts w:ascii="Arial" w:hAnsi="Arial" w:cs="Arial"/>
          <w:sz w:val="20"/>
          <w:szCs w:val="20"/>
        </w:rPr>
        <w:t xml:space="preserve">En específico, haber estudiado de forma exploratoria y descriptiva la práctica del </w:t>
      </w:r>
      <w:proofErr w:type="spellStart"/>
      <w:r>
        <w:rPr>
          <w:rFonts w:ascii="Arial" w:hAnsi="Arial" w:cs="Arial"/>
          <w:sz w:val="20"/>
          <w:szCs w:val="20"/>
        </w:rPr>
        <w:t>microtargeting</w:t>
      </w:r>
      <w:proofErr w:type="spellEnd"/>
      <w:r>
        <w:rPr>
          <w:rFonts w:ascii="Arial" w:hAnsi="Arial" w:cs="Arial"/>
          <w:sz w:val="20"/>
          <w:szCs w:val="20"/>
        </w:rPr>
        <w:t xml:space="preserve"> online a través de los datos que pone a disposición la biblioteca de anuncios de Facebook, permite dar un primer paso en un ámbito poco estudiado en el ámbito académico nacional, pero que a la vez causa bastante interés y temores crecientes en la opinión pública y el mundo experto. </w:t>
      </w:r>
    </w:p>
    <w:p w:rsidR="00222AE4" w:rsidRDefault="00222AE4" w:rsidP="00222AE4">
      <w:pPr>
        <w:pStyle w:val="Default"/>
        <w:spacing w:line="360" w:lineRule="auto"/>
        <w:jc w:val="both"/>
        <w:rPr>
          <w:rFonts w:ascii="Arial" w:hAnsi="Arial" w:cs="Arial"/>
          <w:sz w:val="20"/>
          <w:szCs w:val="20"/>
        </w:rPr>
      </w:pPr>
    </w:p>
    <w:p w:rsidR="00222AE4" w:rsidRDefault="00222AE4" w:rsidP="00222AE4">
      <w:pPr>
        <w:pStyle w:val="Default"/>
        <w:spacing w:line="360" w:lineRule="auto"/>
        <w:jc w:val="both"/>
        <w:rPr>
          <w:rFonts w:ascii="Arial" w:hAnsi="Arial" w:cs="Arial"/>
          <w:sz w:val="20"/>
          <w:szCs w:val="20"/>
        </w:rPr>
      </w:pPr>
      <w:r>
        <w:rPr>
          <w:rFonts w:ascii="Arial" w:hAnsi="Arial" w:cs="Arial"/>
          <w:sz w:val="20"/>
          <w:szCs w:val="20"/>
        </w:rPr>
        <w:t xml:space="preserve">Al cierre de la redacción de este trabajo, se realizó un plebiscito nacional en Chile que arrojó resultados que a muchos dejó sorprendidos, tanto por su magnitud como por sus consecuencias. La campaña previa a esta jornada electoral estuvo repleta de polémicas por la gran cantidad de noticias falsas que circularon y verdaderas campañas de desinformación, muy en línea con lo que se observa en otras latitudes del mundo. Hay quienes plantean que ese fenómeno fue determinante en los resultados del plebiscito, sin embargo convendría moderar ese tipo de afirmaciones mientras aún no sepamos el verdadero impacto que las tecnologías digitales y la inteligencia de datos tienen sobre la intención de voto de las personas, el sistema político y el ecosistema mediático. Eso de por si constituye un desafío para la comunidad académica, en el sentido de continuar esta línea de investigaciones en el futuro </w:t>
      </w:r>
    </w:p>
    <w:p w:rsidR="00222AE4" w:rsidRDefault="00222AE4" w:rsidP="00222AE4">
      <w:pPr>
        <w:pStyle w:val="Default"/>
        <w:spacing w:line="360" w:lineRule="auto"/>
        <w:rPr>
          <w:rFonts w:ascii="Arial" w:hAnsi="Arial" w:cs="Arial"/>
          <w:sz w:val="20"/>
          <w:szCs w:val="20"/>
        </w:rPr>
      </w:pPr>
    </w:p>
    <w:p w:rsidR="00222AE4" w:rsidRDefault="00222AE4" w:rsidP="00222AE4">
      <w:pPr>
        <w:pStyle w:val="Default"/>
        <w:spacing w:line="360" w:lineRule="auto"/>
        <w:jc w:val="both"/>
        <w:rPr>
          <w:rFonts w:ascii="Arial" w:hAnsi="Arial" w:cs="Arial"/>
          <w:sz w:val="20"/>
          <w:szCs w:val="20"/>
        </w:rPr>
      </w:pPr>
      <w:r w:rsidRPr="001C5CE5">
        <w:rPr>
          <w:rFonts w:ascii="Arial" w:hAnsi="Arial" w:cs="Arial"/>
          <w:sz w:val="20"/>
          <w:szCs w:val="20"/>
        </w:rPr>
        <w:t>Por otra parte, al haber elegido una metodología de análisis que</w:t>
      </w:r>
      <w:r>
        <w:rPr>
          <w:rFonts w:ascii="Arial" w:hAnsi="Arial" w:cs="Arial"/>
          <w:sz w:val="20"/>
          <w:szCs w:val="20"/>
        </w:rPr>
        <w:t xml:space="preserve"> entiende los textos como datos, se ha intentado dar un paso también en la consolidación de las técnicas y procedimientos asociados a la Ciencia de Datos aplicada a problemas propios de las Ciencias Sociales, hecho que constituye un debate de alcance internacional en el tiempo presente. De cierta manera, hemos intentado  estudiar un fenómeno novedoso y en constante expansión, utilizando herramientas de su misma naturaleza.</w:t>
      </w:r>
    </w:p>
    <w:p w:rsidR="00222AE4" w:rsidRDefault="00222AE4" w:rsidP="00222AE4">
      <w:pPr>
        <w:pStyle w:val="Default"/>
        <w:spacing w:line="360" w:lineRule="auto"/>
        <w:jc w:val="both"/>
        <w:rPr>
          <w:rFonts w:ascii="Arial" w:hAnsi="Arial" w:cs="Arial"/>
          <w:sz w:val="20"/>
          <w:szCs w:val="20"/>
        </w:rPr>
      </w:pPr>
    </w:p>
    <w:p w:rsidR="00222AE4" w:rsidRPr="001C5CE5" w:rsidRDefault="00222AE4" w:rsidP="00222AE4">
      <w:pPr>
        <w:pStyle w:val="Default"/>
        <w:spacing w:line="360" w:lineRule="auto"/>
        <w:jc w:val="both"/>
        <w:rPr>
          <w:rFonts w:ascii="Arial" w:hAnsi="Arial" w:cs="Arial"/>
          <w:sz w:val="20"/>
          <w:szCs w:val="20"/>
        </w:rPr>
      </w:pPr>
      <w:r>
        <w:rPr>
          <w:rFonts w:ascii="Arial" w:hAnsi="Arial" w:cs="Arial"/>
          <w:sz w:val="20"/>
          <w:szCs w:val="20"/>
        </w:rPr>
        <w:t xml:space="preserve">El </w:t>
      </w:r>
      <w:proofErr w:type="spellStart"/>
      <w:r>
        <w:rPr>
          <w:rFonts w:ascii="Arial" w:hAnsi="Arial" w:cs="Arial"/>
          <w:sz w:val="20"/>
          <w:szCs w:val="20"/>
        </w:rPr>
        <w:t>microtargeting</w:t>
      </w:r>
      <w:proofErr w:type="spellEnd"/>
      <w:r>
        <w:rPr>
          <w:rFonts w:ascii="Arial" w:hAnsi="Arial" w:cs="Arial"/>
          <w:sz w:val="20"/>
          <w:szCs w:val="20"/>
        </w:rPr>
        <w:t xml:space="preserve"> online aplicado en campañas políticas es un terreno bastante desconocido no solo por la falta de investigaciones, sino que también por la dificultad que estas enfrentan a la hora de buscar evidencia empírica contrastable. La segmentación de nichos de votantes, construidos y perfilados con datos producidos por ellos mismos en su vida cotidiana, es una práctica que solo tiende a crecer y acontece en zonas oscuras no visibles para el escrutinio público. De alguna manera, el </w:t>
      </w:r>
      <w:proofErr w:type="spellStart"/>
      <w:r>
        <w:rPr>
          <w:rFonts w:ascii="Arial" w:hAnsi="Arial" w:cs="Arial"/>
          <w:sz w:val="20"/>
          <w:szCs w:val="20"/>
        </w:rPr>
        <w:t>microtargeting</w:t>
      </w:r>
      <w:proofErr w:type="spellEnd"/>
      <w:r>
        <w:rPr>
          <w:rFonts w:ascii="Arial" w:hAnsi="Arial" w:cs="Arial"/>
          <w:sz w:val="20"/>
          <w:szCs w:val="20"/>
        </w:rPr>
        <w:t xml:space="preserve"> es una forma silenciosa de marketing. Contar con nuevos y mejores repositorios de información abierta en las diversas plataformas en que se realiza segmentación </w:t>
      </w:r>
      <w:r>
        <w:rPr>
          <w:rFonts w:ascii="Arial" w:hAnsi="Arial" w:cs="Arial"/>
          <w:sz w:val="20"/>
          <w:szCs w:val="20"/>
        </w:rPr>
        <w:lastRenderedPageBreak/>
        <w:t xml:space="preserve">impulsada por datos, por ejemplo YouTube, resultará crucial para la necesaria expansión del conocimiento que hoy tenemos del fenómeno, el cual sigue siendo muy escaso. </w:t>
      </w:r>
    </w:p>
    <w:p w:rsidR="00222AE4" w:rsidRPr="001C5CE5" w:rsidRDefault="00222AE4" w:rsidP="00222AE4">
      <w:pPr>
        <w:pStyle w:val="Default"/>
        <w:spacing w:line="360" w:lineRule="auto"/>
        <w:rPr>
          <w:rFonts w:ascii="Arial" w:hAnsi="Arial" w:cs="Arial"/>
          <w:sz w:val="20"/>
          <w:szCs w:val="20"/>
        </w:rPr>
      </w:pPr>
    </w:p>
    <w:p w:rsidR="00222AE4" w:rsidRPr="001C5CE5" w:rsidRDefault="00222AE4" w:rsidP="00222AE4">
      <w:pPr>
        <w:pStyle w:val="Default"/>
        <w:spacing w:line="360" w:lineRule="auto"/>
        <w:rPr>
          <w:rFonts w:ascii="Arial" w:hAnsi="Arial" w:cs="Arial"/>
          <w:sz w:val="20"/>
          <w:szCs w:val="20"/>
        </w:rPr>
      </w:pPr>
    </w:p>
    <w:p w:rsidR="00222AE4" w:rsidRPr="001C5CE5" w:rsidRDefault="00222AE4" w:rsidP="00222AE4">
      <w:pPr>
        <w:pStyle w:val="Default"/>
        <w:spacing w:line="360" w:lineRule="auto"/>
        <w:rPr>
          <w:rFonts w:ascii="Arial" w:hAnsi="Arial" w:cs="Arial"/>
          <w:sz w:val="20"/>
          <w:szCs w:val="20"/>
        </w:rPr>
      </w:pPr>
    </w:p>
    <w:p w:rsidR="00222AE4" w:rsidRPr="001C5CE5" w:rsidRDefault="00222AE4" w:rsidP="00222AE4">
      <w:pPr>
        <w:pStyle w:val="Default"/>
        <w:rPr>
          <w:rFonts w:ascii="Arial" w:hAnsi="Arial" w:cs="Arial"/>
          <w:sz w:val="20"/>
          <w:szCs w:val="20"/>
        </w:rPr>
      </w:pPr>
    </w:p>
    <w:p w:rsidR="00DA07C3" w:rsidRDefault="00DA07C3">
      <w:bookmarkStart w:id="0" w:name="_GoBack"/>
      <w:bookmarkEnd w:id="0"/>
    </w:p>
    <w:sectPr w:rsidR="00DA07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AE4"/>
    <w:rsid w:val="00222AE4"/>
    <w:rsid w:val="00DA07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AE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22AE4"/>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AE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22AE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2552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1</cp:revision>
  <dcterms:created xsi:type="dcterms:W3CDTF">2022-10-03T19:56:00Z</dcterms:created>
  <dcterms:modified xsi:type="dcterms:W3CDTF">2022-10-03T19:56:00Z</dcterms:modified>
</cp:coreProperties>
</file>