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0875" w:rsidRDefault="00670875" w:rsidP="00670875">
      <w:pPr>
        <w:spacing w:line="360" w:lineRule="auto"/>
        <w:jc w:val="both"/>
        <w:rPr>
          <w:rFonts w:ascii="Arial" w:hAnsi="Arial" w:cs="Arial"/>
          <w:sz w:val="20"/>
          <w:szCs w:val="20"/>
        </w:rPr>
      </w:pPr>
      <w:r>
        <w:rPr>
          <w:rFonts w:ascii="Arial" w:hAnsi="Arial" w:cs="Arial"/>
          <w:sz w:val="20"/>
          <w:szCs w:val="20"/>
        </w:rPr>
        <w:t xml:space="preserve">Discusión </w:t>
      </w:r>
    </w:p>
    <w:p w:rsidR="00670875" w:rsidRDefault="00670875" w:rsidP="00670875">
      <w:pPr>
        <w:spacing w:line="360" w:lineRule="auto"/>
        <w:jc w:val="both"/>
        <w:rPr>
          <w:rFonts w:ascii="Arial" w:hAnsi="Arial" w:cs="Arial"/>
          <w:sz w:val="20"/>
          <w:szCs w:val="20"/>
        </w:rPr>
      </w:pPr>
      <w:r>
        <w:rPr>
          <w:rFonts w:ascii="Arial" w:hAnsi="Arial" w:cs="Arial"/>
          <w:sz w:val="20"/>
          <w:szCs w:val="20"/>
        </w:rPr>
        <w:t xml:space="preserve">El primer elemento que cabe destacar, luego de desarrollado este breve ejercicio de análisis de anuncios de campaña extraídos de Facebook, es que el análisis de tópicos, en términos generales, arrojó resultados coherentes en cuanto a los perfiles políticos de los candidatos presidenciales. La distribución de 10 tópicos permitió visualizar a grandes rasgos los ejes discursivos relevantes que cada candidato le imprimió a su campaña digital de anuncios en Facebook, los cuales resultaron ser consistentes con el domicilio político efectivo de cada uno de ellos. </w:t>
      </w:r>
    </w:p>
    <w:p w:rsidR="00670875" w:rsidRDefault="00670875" w:rsidP="00670875">
      <w:pPr>
        <w:spacing w:line="360" w:lineRule="auto"/>
        <w:jc w:val="both"/>
        <w:rPr>
          <w:rFonts w:ascii="Arial" w:hAnsi="Arial" w:cs="Arial"/>
          <w:sz w:val="20"/>
          <w:szCs w:val="20"/>
        </w:rPr>
      </w:pPr>
      <w:r>
        <w:rPr>
          <w:rFonts w:ascii="Arial" w:hAnsi="Arial" w:cs="Arial"/>
          <w:sz w:val="20"/>
          <w:szCs w:val="20"/>
        </w:rPr>
        <w:t>En la menor parte de los casos se generó suficiente ambigüedad como para no poder interpretar el sentido cualitativo del tópico. Lo anterior podría deberse a limitaciones propias del modelo matemático subyacente al LDA que se utilizó, a una elección incorrecta de la cantidad de tópicos por caso, o a errores en la limpieza de palabras y simbologías en la etapa de pre-procesamiento de las bases de datos originales.</w:t>
      </w:r>
    </w:p>
    <w:p w:rsidR="00670875" w:rsidRDefault="00670875" w:rsidP="00670875">
      <w:pPr>
        <w:spacing w:line="360" w:lineRule="auto"/>
        <w:jc w:val="both"/>
        <w:rPr>
          <w:rFonts w:ascii="Arial" w:hAnsi="Arial" w:cs="Arial"/>
          <w:sz w:val="20"/>
          <w:szCs w:val="20"/>
        </w:rPr>
      </w:pPr>
      <w:r>
        <w:rPr>
          <w:rFonts w:ascii="Arial" w:hAnsi="Arial" w:cs="Arial"/>
          <w:sz w:val="20"/>
          <w:szCs w:val="20"/>
        </w:rPr>
        <w:t xml:space="preserve">Las escalas de análisis propuestas resultaron de utilidad para observar desde distintos ángulos la información recolectada. En este punto podemos destacar el interesante hallazgo en la escala que agrupaba a los dos candidatos en segunda vuelta, Gabriel </w:t>
      </w:r>
      <w:proofErr w:type="spellStart"/>
      <w:r>
        <w:rPr>
          <w:rFonts w:ascii="Arial" w:hAnsi="Arial" w:cs="Arial"/>
          <w:sz w:val="20"/>
          <w:szCs w:val="20"/>
        </w:rPr>
        <w:t>Boric</w:t>
      </w:r>
      <w:proofErr w:type="spellEnd"/>
      <w:r>
        <w:rPr>
          <w:rFonts w:ascii="Arial" w:hAnsi="Arial" w:cs="Arial"/>
          <w:sz w:val="20"/>
          <w:szCs w:val="20"/>
        </w:rPr>
        <w:t xml:space="preserve"> y José Antonio </w:t>
      </w:r>
      <w:proofErr w:type="spellStart"/>
      <w:r>
        <w:rPr>
          <w:rFonts w:ascii="Arial" w:hAnsi="Arial" w:cs="Arial"/>
          <w:sz w:val="20"/>
          <w:szCs w:val="20"/>
        </w:rPr>
        <w:t>Kast</w:t>
      </w:r>
      <w:proofErr w:type="spellEnd"/>
      <w:r>
        <w:rPr>
          <w:rFonts w:ascii="Arial" w:hAnsi="Arial" w:cs="Arial"/>
          <w:sz w:val="20"/>
          <w:szCs w:val="20"/>
        </w:rPr>
        <w:t>, donde se pudo observar una suerte de condensación de tópicos entre ambos en torno a un gran eje temático relacionado con seguridad y orden público.</w:t>
      </w:r>
    </w:p>
    <w:p w:rsidR="00670875" w:rsidRDefault="00670875" w:rsidP="00670875">
      <w:pPr>
        <w:spacing w:line="360" w:lineRule="auto"/>
        <w:jc w:val="both"/>
        <w:rPr>
          <w:rFonts w:ascii="Arial" w:hAnsi="Arial" w:cs="Arial"/>
          <w:sz w:val="20"/>
          <w:szCs w:val="20"/>
        </w:rPr>
      </w:pPr>
      <w:r>
        <w:rPr>
          <w:rFonts w:ascii="Arial" w:hAnsi="Arial" w:cs="Arial"/>
          <w:sz w:val="20"/>
          <w:szCs w:val="20"/>
        </w:rPr>
        <w:t xml:space="preserve">En cuanto al objetivo de identificar el posible nacimiento y/o muerte de tópicos entre dos ventanas de observación, en este caso la primera y la segunda vuelta, siguiendo lo propuesto por </w:t>
      </w:r>
      <w:proofErr w:type="spellStart"/>
      <w:r>
        <w:rPr>
          <w:rFonts w:ascii="Arial" w:hAnsi="Arial" w:cs="Arial"/>
          <w:sz w:val="20"/>
          <w:szCs w:val="20"/>
        </w:rPr>
        <w:t>Ambrosino</w:t>
      </w:r>
      <w:proofErr w:type="spellEnd"/>
      <w:r>
        <w:rPr>
          <w:rFonts w:ascii="Arial" w:hAnsi="Arial" w:cs="Arial"/>
          <w:sz w:val="20"/>
          <w:szCs w:val="20"/>
        </w:rPr>
        <w:t xml:space="preserve"> </w:t>
      </w:r>
      <w:proofErr w:type="spellStart"/>
      <w:r>
        <w:rPr>
          <w:rFonts w:ascii="Arial" w:hAnsi="Arial" w:cs="Arial"/>
          <w:sz w:val="20"/>
          <w:szCs w:val="20"/>
        </w:rPr>
        <w:t>et.al</w:t>
      </w:r>
      <w:proofErr w:type="spellEnd"/>
      <w:r>
        <w:rPr>
          <w:rFonts w:ascii="Arial" w:hAnsi="Arial" w:cs="Arial"/>
          <w:sz w:val="20"/>
          <w:szCs w:val="20"/>
        </w:rPr>
        <w:t xml:space="preserve"> (2018), es posible afirmar que fue cumplido con éxito. Los dos candidatos que pasaron a la segunda vuelta mostraron signos de mutación significativa en los tópicos principales asociados a su propaganda entre una ventana y la otra. </w:t>
      </w:r>
    </w:p>
    <w:p w:rsidR="00670875" w:rsidRDefault="00670875" w:rsidP="00670875">
      <w:pPr>
        <w:spacing w:line="360" w:lineRule="auto"/>
        <w:jc w:val="both"/>
        <w:rPr>
          <w:rFonts w:ascii="Arial" w:hAnsi="Arial" w:cs="Arial"/>
          <w:sz w:val="20"/>
          <w:szCs w:val="20"/>
        </w:rPr>
      </w:pPr>
      <w:r>
        <w:rPr>
          <w:rFonts w:ascii="Arial" w:hAnsi="Arial" w:cs="Arial"/>
          <w:sz w:val="20"/>
          <w:szCs w:val="20"/>
        </w:rPr>
        <w:t xml:space="preserve">En el caso de José Antonio </w:t>
      </w:r>
      <w:proofErr w:type="spellStart"/>
      <w:r>
        <w:rPr>
          <w:rFonts w:ascii="Arial" w:hAnsi="Arial" w:cs="Arial"/>
          <w:sz w:val="20"/>
          <w:szCs w:val="20"/>
        </w:rPr>
        <w:t>Kast</w:t>
      </w:r>
      <w:proofErr w:type="spellEnd"/>
      <w:r>
        <w:rPr>
          <w:rFonts w:ascii="Arial" w:hAnsi="Arial" w:cs="Arial"/>
          <w:sz w:val="20"/>
          <w:szCs w:val="20"/>
        </w:rPr>
        <w:t xml:space="preserve"> se observó la desaparición casi total del tópico de primera vuelta relacionado con la familia nuclear tradicional y a la vez el nacimiento de uno nuevo asociado a las temáticas de mujer y género, en la segunda vuelta. El candidato Gabriel </w:t>
      </w:r>
      <w:proofErr w:type="spellStart"/>
      <w:r>
        <w:rPr>
          <w:rFonts w:ascii="Arial" w:hAnsi="Arial" w:cs="Arial"/>
          <w:sz w:val="20"/>
          <w:szCs w:val="20"/>
        </w:rPr>
        <w:t>Boric</w:t>
      </w:r>
      <w:proofErr w:type="spellEnd"/>
      <w:r>
        <w:rPr>
          <w:rFonts w:ascii="Arial" w:hAnsi="Arial" w:cs="Arial"/>
          <w:sz w:val="20"/>
          <w:szCs w:val="20"/>
        </w:rPr>
        <w:t xml:space="preserve"> presentó un fenómeno aún más notorio, en la medida que varios de los tópicos de primera vuelta asociados a reformas y transformaciones profundas se extinguieron al pasar a la siguiente ventana de observación, mientras nacían varios tópicos nuevos relativos a materias de seguridad, carabineros, sueldos de altas autoridades o migración.</w:t>
      </w:r>
    </w:p>
    <w:p w:rsidR="00670875" w:rsidRDefault="00670875" w:rsidP="00670875">
      <w:pPr>
        <w:spacing w:line="360" w:lineRule="auto"/>
        <w:jc w:val="both"/>
        <w:rPr>
          <w:rFonts w:ascii="Arial" w:hAnsi="Arial" w:cs="Arial"/>
          <w:sz w:val="20"/>
          <w:szCs w:val="20"/>
        </w:rPr>
      </w:pPr>
      <w:r>
        <w:rPr>
          <w:rFonts w:ascii="Arial" w:hAnsi="Arial" w:cs="Arial"/>
          <w:sz w:val="20"/>
          <w:szCs w:val="20"/>
        </w:rPr>
        <w:t xml:space="preserve">Una forma de explicar lo anterior podría ser a través de algún tipo de proceso de transferencia o absorción de tópicos, en la que un candidato toma tópicos de otro derrotado y los integra en su estrategia publicitaria electoral, entre una ventana de observación y otra, como en este caso para las dos vueltas presidenciales. En ese caso, sería una suerte de  nacimiento endógeno de tópico, el cual tendría que ser verificado mediante una comparación entre el tópico que desaparece y el </w:t>
      </w:r>
      <w:r>
        <w:rPr>
          <w:rFonts w:ascii="Arial" w:hAnsi="Arial" w:cs="Arial"/>
          <w:sz w:val="20"/>
          <w:szCs w:val="20"/>
        </w:rPr>
        <w:lastRenderedPageBreak/>
        <w:t>que nace, observando la distribución de palabras al interior de cada uno para establecer si hay suficiente similitud.</w:t>
      </w:r>
    </w:p>
    <w:p w:rsidR="00670875" w:rsidRDefault="00670875" w:rsidP="00670875">
      <w:pPr>
        <w:spacing w:line="360" w:lineRule="auto"/>
        <w:jc w:val="both"/>
        <w:rPr>
          <w:rFonts w:ascii="Arial" w:hAnsi="Arial" w:cs="Arial"/>
          <w:sz w:val="20"/>
          <w:szCs w:val="20"/>
        </w:rPr>
      </w:pPr>
      <w:r>
        <w:rPr>
          <w:rFonts w:ascii="Arial" w:hAnsi="Arial" w:cs="Arial"/>
          <w:sz w:val="20"/>
          <w:szCs w:val="20"/>
        </w:rPr>
        <w:t>Otra alternativa sería que el nacimiento sea exógeno, es decir, el tópico es completamente nuevo y no presenta ninguna similitud con otro previamente existente al interior del sistema que está siendo analizado. En ambos casos, se necesitaría avanzar en una conceptualización más precisa a la luz de nuevas evidencias empíricas.</w:t>
      </w:r>
    </w:p>
    <w:p w:rsidR="00670875" w:rsidRDefault="00670875" w:rsidP="00670875">
      <w:pPr>
        <w:spacing w:line="360" w:lineRule="auto"/>
        <w:jc w:val="both"/>
        <w:rPr>
          <w:rFonts w:ascii="Arial" w:hAnsi="Arial" w:cs="Arial"/>
          <w:sz w:val="20"/>
          <w:szCs w:val="20"/>
        </w:rPr>
      </w:pPr>
      <w:r>
        <w:rPr>
          <w:rFonts w:ascii="Arial" w:hAnsi="Arial" w:cs="Arial"/>
          <w:sz w:val="20"/>
          <w:szCs w:val="20"/>
        </w:rPr>
        <w:t>En cuanto al</w:t>
      </w:r>
      <w:r w:rsidRPr="006D27F4">
        <w:rPr>
          <w:rFonts w:ascii="Arial" w:hAnsi="Arial" w:cs="Arial"/>
          <w:sz w:val="20"/>
          <w:szCs w:val="20"/>
        </w:rPr>
        <w:t xml:space="preserve"> análisis de los criterios de segmentación asociados a los anuncios</w:t>
      </w:r>
      <w:r>
        <w:rPr>
          <w:rFonts w:ascii="Arial" w:hAnsi="Arial" w:cs="Arial"/>
          <w:sz w:val="20"/>
          <w:szCs w:val="20"/>
        </w:rPr>
        <w:t xml:space="preserve"> publicados por los candidatos en la sumatoria de todo el proceso electoral, los resultados nos</w:t>
      </w:r>
      <w:r w:rsidRPr="006D27F4">
        <w:rPr>
          <w:rFonts w:ascii="Arial" w:hAnsi="Arial" w:cs="Arial"/>
          <w:sz w:val="20"/>
          <w:szCs w:val="20"/>
        </w:rPr>
        <w:t xml:space="preserve"> indican que e</w:t>
      </w:r>
      <w:r>
        <w:rPr>
          <w:rFonts w:ascii="Arial" w:hAnsi="Arial" w:cs="Arial"/>
          <w:sz w:val="20"/>
          <w:szCs w:val="20"/>
        </w:rPr>
        <w:t xml:space="preserve">fectivamente se trata de una práctica bastante cercana a lo que en esta investigación hemos entendido como </w:t>
      </w:r>
      <w:proofErr w:type="spellStart"/>
      <w:r w:rsidRPr="006D27F4">
        <w:rPr>
          <w:rFonts w:ascii="Arial" w:hAnsi="Arial" w:cs="Arial"/>
          <w:sz w:val="20"/>
          <w:szCs w:val="20"/>
        </w:rPr>
        <w:t>microtargeting</w:t>
      </w:r>
      <w:proofErr w:type="spellEnd"/>
      <w:r w:rsidRPr="006D27F4">
        <w:rPr>
          <w:rFonts w:ascii="Arial" w:hAnsi="Arial" w:cs="Arial"/>
          <w:sz w:val="20"/>
          <w:szCs w:val="20"/>
        </w:rPr>
        <w:t xml:space="preserve">, </w:t>
      </w:r>
      <w:r>
        <w:rPr>
          <w:rFonts w:ascii="Arial" w:hAnsi="Arial" w:cs="Arial"/>
          <w:sz w:val="20"/>
          <w:szCs w:val="20"/>
        </w:rPr>
        <w:t>es decir, como la creación de mensajes perfeccionados que se segmentan y envían a categorías estrechas de votantes, en base al análisis de información demográfica, de gustos y preferencias, recolectada de los propios individuos (</w:t>
      </w:r>
      <w:proofErr w:type="spellStart"/>
      <w:r>
        <w:rPr>
          <w:rFonts w:ascii="Arial" w:hAnsi="Arial" w:cs="Arial"/>
          <w:sz w:val="20"/>
          <w:szCs w:val="20"/>
        </w:rPr>
        <w:t>Borgesius</w:t>
      </w:r>
      <w:proofErr w:type="spellEnd"/>
      <w:r>
        <w:rPr>
          <w:rFonts w:ascii="Arial" w:hAnsi="Arial" w:cs="Arial"/>
          <w:sz w:val="20"/>
          <w:szCs w:val="20"/>
        </w:rPr>
        <w:t xml:space="preserve"> et al, 2018; </w:t>
      </w:r>
      <w:proofErr w:type="spellStart"/>
      <w:r>
        <w:rPr>
          <w:rFonts w:ascii="Arial" w:hAnsi="Arial" w:cs="Arial"/>
          <w:sz w:val="20"/>
          <w:szCs w:val="20"/>
        </w:rPr>
        <w:t>Gorton</w:t>
      </w:r>
      <w:proofErr w:type="spellEnd"/>
      <w:r>
        <w:rPr>
          <w:rFonts w:ascii="Arial" w:hAnsi="Arial" w:cs="Arial"/>
          <w:sz w:val="20"/>
          <w:szCs w:val="20"/>
        </w:rPr>
        <w:t>, 2016).</w:t>
      </w:r>
    </w:p>
    <w:p w:rsidR="00670875" w:rsidRDefault="00670875" w:rsidP="00670875">
      <w:pPr>
        <w:spacing w:line="360" w:lineRule="auto"/>
        <w:jc w:val="both"/>
        <w:rPr>
          <w:rFonts w:ascii="Arial" w:hAnsi="Arial" w:cs="Arial"/>
          <w:sz w:val="20"/>
          <w:szCs w:val="20"/>
        </w:rPr>
      </w:pPr>
      <w:r>
        <w:rPr>
          <w:rFonts w:ascii="Arial" w:hAnsi="Arial" w:cs="Arial"/>
          <w:sz w:val="20"/>
          <w:szCs w:val="20"/>
        </w:rPr>
        <w:t xml:space="preserve">Sin embargo, la evidencia empírica reunida sugiere que el nivel de precisión con que se lanzan los anuncios es mucho menor de la que la literatura académica ha informado, ya que los nichos a los cuales se envió la gran mayoría de la publicidad extraída en la base de datos utilizada, son bastante más grandes y diversos. </w:t>
      </w:r>
    </w:p>
    <w:p w:rsidR="00670875" w:rsidRDefault="00670875" w:rsidP="00670875">
      <w:pPr>
        <w:spacing w:line="360" w:lineRule="auto"/>
        <w:jc w:val="both"/>
        <w:rPr>
          <w:rFonts w:ascii="Arial" w:hAnsi="Arial" w:cs="Arial"/>
          <w:sz w:val="20"/>
          <w:szCs w:val="20"/>
        </w:rPr>
      </w:pPr>
      <w:r>
        <w:rPr>
          <w:rFonts w:ascii="Arial" w:hAnsi="Arial" w:cs="Arial"/>
          <w:sz w:val="20"/>
          <w:szCs w:val="20"/>
        </w:rPr>
        <w:t xml:space="preserve">Según el procedimiento realizado para construir las tablas que informan la distribución probable de los tópicos derivados del análisis LDA en los distintos segmentos ponderados que se presentaron en este capítulo de resultados, se pudo constatar que cada anuncio de campaña enviado por un candidato, posee múltiples decisiones de segmentación, algunas de ellas con un peso muy pequeño (inferior a 1%), lo que lleva a pensar que muchos de estos son en realidad targets de prueba para probar la recepción de un anuncio en la audiencia, más que una decisión definitiva de </w:t>
      </w:r>
      <w:proofErr w:type="spellStart"/>
      <w:r>
        <w:rPr>
          <w:rFonts w:ascii="Arial" w:hAnsi="Arial" w:cs="Arial"/>
          <w:sz w:val="20"/>
          <w:szCs w:val="20"/>
        </w:rPr>
        <w:t>microtargeting</w:t>
      </w:r>
      <w:proofErr w:type="spellEnd"/>
      <w:r>
        <w:rPr>
          <w:rFonts w:ascii="Arial" w:hAnsi="Arial" w:cs="Arial"/>
          <w:sz w:val="20"/>
          <w:szCs w:val="20"/>
        </w:rPr>
        <w:t>. Este ángulo necesita ser profundizado en futuros estudios, para avanzar en la comprensión del fenómeno.</w:t>
      </w:r>
    </w:p>
    <w:p w:rsidR="00670875" w:rsidRPr="006D27F4" w:rsidRDefault="00670875" w:rsidP="00670875">
      <w:pPr>
        <w:spacing w:line="360" w:lineRule="auto"/>
        <w:jc w:val="both"/>
        <w:rPr>
          <w:rFonts w:ascii="Arial" w:hAnsi="Arial" w:cs="Arial"/>
          <w:sz w:val="20"/>
          <w:szCs w:val="20"/>
        </w:rPr>
      </w:pPr>
      <w:r>
        <w:rPr>
          <w:rFonts w:ascii="Arial" w:hAnsi="Arial" w:cs="Arial"/>
          <w:sz w:val="20"/>
          <w:szCs w:val="20"/>
        </w:rPr>
        <w:t xml:space="preserve">Otro aspecto a indagar en futuros estudios, es el contraste entre los criterios de segmentación o </w:t>
      </w:r>
      <w:proofErr w:type="spellStart"/>
      <w:r>
        <w:rPr>
          <w:rFonts w:ascii="Arial" w:hAnsi="Arial" w:cs="Arial"/>
          <w:sz w:val="20"/>
          <w:szCs w:val="20"/>
        </w:rPr>
        <w:t>microtargeting</w:t>
      </w:r>
      <w:proofErr w:type="spellEnd"/>
      <w:r>
        <w:rPr>
          <w:rFonts w:ascii="Arial" w:hAnsi="Arial" w:cs="Arial"/>
          <w:sz w:val="20"/>
          <w:szCs w:val="20"/>
        </w:rPr>
        <w:t xml:space="preserve"> que la biblioteca de anuncios de Facebook efectivamente pone a disposición para su uso, y la paleta completa de criterios ofrecidos por Facebook en su sitio. Esa brecha de información impide ver en su totalidad la práctica real del </w:t>
      </w:r>
      <w:proofErr w:type="spellStart"/>
      <w:r>
        <w:rPr>
          <w:rFonts w:ascii="Arial" w:hAnsi="Arial" w:cs="Arial"/>
          <w:sz w:val="20"/>
          <w:szCs w:val="20"/>
        </w:rPr>
        <w:t>microtargeting</w:t>
      </w:r>
      <w:proofErr w:type="spellEnd"/>
      <w:r>
        <w:rPr>
          <w:rFonts w:ascii="Arial" w:hAnsi="Arial" w:cs="Arial"/>
          <w:sz w:val="20"/>
          <w:szCs w:val="20"/>
        </w:rPr>
        <w:t>, lo que constituyó una limitación para este estudio</w:t>
      </w:r>
    </w:p>
    <w:p w:rsidR="00670875" w:rsidRDefault="00670875" w:rsidP="00670875">
      <w:pPr>
        <w:spacing w:line="360" w:lineRule="auto"/>
        <w:jc w:val="both"/>
        <w:rPr>
          <w:rFonts w:ascii="Arial" w:hAnsi="Arial" w:cs="Arial"/>
          <w:sz w:val="20"/>
          <w:szCs w:val="20"/>
        </w:rPr>
      </w:pPr>
      <w:r>
        <w:rPr>
          <w:rFonts w:ascii="Arial" w:hAnsi="Arial" w:cs="Arial"/>
          <w:sz w:val="20"/>
          <w:szCs w:val="20"/>
        </w:rPr>
        <w:t xml:space="preserve">Finalmente, es posible plantear una reflexión sobre la discusión mayor en que este estudio buscó inscribirse, esto es, sobre las características que podrían definir la posibilidad de apertura de una nueva etapa en la comunicación política. Sin duda ese es un debate de mucho más vuelo, del cual esta pequeña investigación no podría dar cuenta por sí sola. No obstante, viendo el nivel de </w:t>
      </w:r>
      <w:r>
        <w:rPr>
          <w:rFonts w:ascii="Arial" w:hAnsi="Arial" w:cs="Arial"/>
          <w:sz w:val="20"/>
          <w:szCs w:val="20"/>
        </w:rPr>
        <w:lastRenderedPageBreak/>
        <w:t xml:space="preserve">inversión monetaria que 5 de los 7 candidatos presidenciales realizaron en propaganda pagada por Facebook, superior a los 500 millones de pesos, sumada a múltiples otras actividades que los comandos de campaña ejecutaron con la ayuda de tecnología digital, y el hecho de que el candidato Franco </w:t>
      </w:r>
      <w:proofErr w:type="spellStart"/>
      <w:r>
        <w:rPr>
          <w:rFonts w:ascii="Arial" w:hAnsi="Arial" w:cs="Arial"/>
          <w:sz w:val="20"/>
          <w:szCs w:val="20"/>
        </w:rPr>
        <w:t>Parisi</w:t>
      </w:r>
      <w:proofErr w:type="spellEnd"/>
      <w:r>
        <w:rPr>
          <w:rFonts w:ascii="Arial" w:hAnsi="Arial" w:cs="Arial"/>
          <w:sz w:val="20"/>
          <w:szCs w:val="20"/>
        </w:rPr>
        <w:t xml:space="preserve">, que no utilizó propaganda en esta plataforma, pero basó su campaña por completo en una estrategia digital sofisticada de perfilamiento de votantes a través de minería de datos, podemos afirmar con cierta confianza de que hay una buena cantidad de evidencia que va indicando la transformación significativa en la forma de hacer campañas en Chile, cuyo vector apunta claramente hacia aquellas que se apoyan en inteligencia de datos, </w:t>
      </w:r>
      <w:proofErr w:type="spellStart"/>
      <w:r>
        <w:rPr>
          <w:rFonts w:ascii="Arial" w:hAnsi="Arial" w:cs="Arial"/>
          <w:sz w:val="20"/>
          <w:szCs w:val="20"/>
        </w:rPr>
        <w:t>microtargeting</w:t>
      </w:r>
      <w:proofErr w:type="spellEnd"/>
      <w:r>
        <w:rPr>
          <w:rFonts w:ascii="Arial" w:hAnsi="Arial" w:cs="Arial"/>
          <w:sz w:val="20"/>
          <w:szCs w:val="20"/>
        </w:rPr>
        <w:t xml:space="preserve"> y herramientas digitales en general. </w:t>
      </w:r>
    </w:p>
    <w:p w:rsidR="00670875" w:rsidRPr="001B618B" w:rsidRDefault="00670875" w:rsidP="00670875">
      <w:pPr>
        <w:spacing w:line="360" w:lineRule="auto"/>
        <w:jc w:val="both"/>
        <w:rPr>
          <w:rFonts w:ascii="Arial" w:hAnsi="Arial" w:cs="Arial"/>
          <w:sz w:val="20"/>
          <w:szCs w:val="20"/>
        </w:rPr>
      </w:pPr>
    </w:p>
    <w:p w:rsidR="00DA07C3" w:rsidRDefault="00DA07C3">
      <w:bookmarkStart w:id="0" w:name="_GoBack"/>
      <w:bookmarkEnd w:id="0"/>
    </w:p>
    <w:sectPr w:rsidR="00DA07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875"/>
    <w:rsid w:val="00670875"/>
    <w:rsid w:val="00DA07C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8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8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1012</Words>
  <Characters>5568</Characters>
  <Application>Microsoft Office Word</Application>
  <DocSecurity>0</DocSecurity>
  <Lines>46</Lines>
  <Paragraphs>13</Paragraphs>
  <ScaleCrop>false</ScaleCrop>
  <Company/>
  <LinksUpToDate>false</LinksUpToDate>
  <CharactersWithSpaces>6567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Mendez Cerda</dc:creator>
  <cp:lastModifiedBy>Cristian Mendez Cerda</cp:lastModifiedBy>
  <cp:revision>1</cp:revision>
  <dcterms:created xsi:type="dcterms:W3CDTF">2022-10-03T18:54:00Z</dcterms:created>
  <dcterms:modified xsi:type="dcterms:W3CDTF">2022-10-03T18:54:00Z</dcterms:modified>
</cp:coreProperties>
</file>