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center"/>
      </w:pPr>
      <w:r>
        <w:rPr>
          <w:b/>
        </w:rPr>
        <w:t>S2 Empirical Strategy Consolidation</w:t>
        <w:br/>
      </w:r>
      <w:r>
        <w:t>Progressive Reduced-Rank VECM Design with tsDyn</w:t>
      </w:r>
    </w:p>
    <w:p>
      <w:pPr>
        <w:pStyle w:val="SubtitleCustom"/>
        <w:jc w:val="center"/>
      </w:pPr>
      <w:r>
        <w:t>Consolidated strategy, workflow figure, helper chunks, frozen tag dictionary, and freeze-readiness assessment</w:t>
      </w:r>
    </w:p>
    <w:p/>
    <w:p>
      <w:pPr>
        <w:spacing w:after="160"/>
      </w:pPr>
      <w:r>
        <w:rPr>
          <w:b/>
        </w:rPr>
        <w:t xml:space="preserve">Purpose. </w:t>
      </w:r>
      <w:r>
        <w:t>This note consolidates the S2 empirical strategy as a single progressive VECM study, documents the object dictionary that defines every model cell, records the helper code chunks already drafted for implementation, and assesses whether the design is conceptually saturated enough to freeze before coding resumes.</w:t>
      </w:r>
    </w:p>
    <w:p>
      <w:pPr>
        <w:pStyle w:val="Heading1Custom"/>
      </w:pPr>
      <w:r>
        <w:t>Workflow Figure</w:t>
      </w:r>
    </w:p>
    <w:p>
      <w:pPr>
        <w:jc w:val="center"/>
      </w:pPr>
      <w:r>
        <w:drawing>
          <wp:inline xmlns:a="http://schemas.openxmlformats.org/drawingml/2006/main" xmlns:pic="http://schemas.openxmlformats.org/drawingml/2006/picture">
            <wp:extent cx="6309360" cy="3124393"/>
            <wp:docPr id="1" name="Picture 1"/>
            <wp:cNvGraphicFramePr>
              <a:graphicFrameLocks noChangeAspect="1"/>
            </wp:cNvGraphicFramePr>
            <a:graphic>
              <a:graphicData uri="http://schemas.openxmlformats.org/drawingml/2006/picture">
                <pic:pic>
                  <pic:nvPicPr>
                    <pic:cNvPr id="0" name="s2_workflow_figure.png"/>
                    <pic:cNvPicPr/>
                  </pic:nvPicPr>
                  <pic:blipFill>
                    <a:blip r:embed="rId9"/>
                    <a:stretch>
                      <a:fillRect/>
                    </a:stretch>
                  </pic:blipFill>
                  <pic:spPr>
                    <a:xfrm>
                      <a:off x="0" y="0"/>
                      <a:ext cx="6309360" cy="3124393"/>
                    </a:xfrm>
                    <a:prstGeom prst="rect"/>
                  </pic:spPr>
                </pic:pic>
              </a:graphicData>
            </a:graphic>
          </wp:inline>
        </w:drawing>
      </w:r>
    </w:p>
    <w:p>
      <w:pPr>
        <w:pStyle w:val="SubtitleCustom"/>
        <w:jc w:val="center"/>
      </w:pPr>
      <w:r>
        <w:t>Figure S2.1. Locked workflow order: lattice definition → estimation → admissibility → information grid → winner selection → post-selection structural rotation.</w:t>
      </w:r>
    </w:p>
    <w:p>
      <w:pPr>
        <w:pStyle w:val="Heading1Custom"/>
      </w:pPr>
      <w:r>
        <w:t>1. Study identity and objective</w:t>
      </w:r>
    </w:p>
    <w:p>
      <w:r>
        <w:t>S2 is a single progressive reduced-rank VECM study rather than a pair of disconnected exercises. It contains two nested branches.</w:t>
      </w:r>
    </w:p>
    <w:p>
      <w:pPr>
        <w:pStyle w:val="Heading2Custom"/>
      </w:pPr>
      <w:r>
        <w:t>S2.1 — baseline system</w:t>
      </w:r>
    </w:p>
    <w:p>
      <w:pPr>
        <w:pStyle w:val="CodeCustom"/>
      </w:pPr>
      <w:r>
        <w:t>X_t = (lnY_t, lnK_t),  rank fixed at r = 1</w:t>
      </w:r>
    </w:p>
    <w:p>
      <w:pPr>
        <w:pStyle w:val="Heading2Custom"/>
      </w:pPr>
      <w:r>
        <w:t>S2.2 — expanded system</w:t>
      </w:r>
    </w:p>
    <w:p>
      <w:pPr>
        <w:pStyle w:val="CodeCustom"/>
      </w:pPr>
      <w:r>
        <w:t>X_t = (lnY_t, lnK_t, ln e_t),  rank fixed at r = 2</w:t>
      </w:r>
    </w:p>
    <w:p>
      <w:r>
        <w:t>Interpretation is deferred until model selection. In the baseline branch, the candidate structural reading is the capacity–utilization relation lnY_t − θ lnK_t. In the expanded branch, the candidate structural reading is a rank-2 space supporting both utilization confinement and reserve-army discipline through utilization.</w:t>
      </w:r>
    </w:p>
    <w:p>
      <w:pPr>
        <w:pStyle w:val="Heading1Custom"/>
      </w:pPr>
      <w:r>
        <w:t>2. Full S2 lattice and selection protocol</w:t>
      </w:r>
    </w:p>
    <w:p>
      <w:pPr>
        <w:pStyle w:val="Heading2Custom"/>
      </w:pPr>
      <w:r>
        <w:t>Canonical specification object</w:t>
      </w:r>
    </w:p>
    <w:p>
      <w:pPr>
        <w:pStyle w:val="CodeCustom"/>
      </w:pPr>
      <w:r>
        <w:t>Spec = {m, r, p, q, d, h}</w:t>
      </w:r>
    </w:p>
    <w:p>
      <w:pPr>
        <w:pStyle w:val="Heading2Custom"/>
      </w:pPr>
      <w:r>
        <w:t>Selection order</w:t>
      </w:r>
    </w:p>
    <w:p>
      <w:pPr>
        <w:pStyle w:val="CodeCustom"/>
      </w:pPr>
      <w:r>
        <w:t>estimate all cells → admissibility filter → information criteria contest → global frontier → winner selection → structural rotation of β-space</w:t>
      </w:r>
    </w:p>
    <w:p>
      <w:pPr>
        <w:pStyle w:val="Heading2Custom"/>
      </w:pPr>
      <w:r>
        <w:t>Core selection rule</w:t>
      </w:r>
    </w:p>
    <w:p>
      <w:pPr>
        <w:pStyle w:val="CodeCustom"/>
      </w:pPr>
      <w:r>
        <w:t>No structural rotation is used during the search. Theoretical interpretation begins only after a winning cell has been selected from the admissible frontier.</w:t>
      </w:r>
    </w:p>
    <w:p>
      <w:pPr>
        <w:pStyle w:val="Heading1Custom"/>
      </w:pPr>
      <w:r>
        <w:t>3. Visualization system inherited from S1</w:t>
      </w:r>
    </w:p>
    <w:p>
      <w:r>
        <w:t>S2 keeps the S1 plotting grammar and treats the plotting stage agnostically. Historical and deterministic branches are handled as specification attributes, not as pre-interpreted mechanisms.</w:t>
      </w:r>
    </w:p>
    <w:p>
      <w:pPr>
        <w:pStyle w:val="Heading2Custom"/>
      </w:pPr>
      <w:r>
        <w:t>Figure S2.2 — Global likelihood frontier</w:t>
      </w:r>
    </w:p>
    <w:p>
      <w:pPr>
        <w:pStyle w:val="CodeCustom"/>
      </w:pPr>
      <w:r>
        <w:t>x-axis = k_total,  y-axis = −2 logLik; layers: admissible scatter, global frontier, frontier labels only</w:t>
      </w:r>
    </w:p>
    <w:p>
      <w:pPr>
        <w:pStyle w:val="Heading2Custom"/>
      </w:pPr>
      <w:r>
        <w:t>Figure S2.3 — Conditional information-criteria frontiers</w:t>
      </w:r>
    </w:p>
    <w:p>
      <w:pPr>
        <w:pStyle w:val="CodeCustom"/>
      </w:pPr>
      <w:r>
        <w:t>same plane, with AIC, BIC, HQ, ICOMP, and RICOMP winners highlighted</w:t>
      </w:r>
    </w:p>
    <w:p>
      <w:pPr>
        <w:pStyle w:val="Heading2Custom"/>
      </w:pPr>
      <w:r>
        <w:t>Figure S2.4 — Informational domain (Ω20)</w:t>
      </w:r>
    </w:p>
    <w:p>
      <w:pPr>
        <w:pStyle w:val="CodeCustom"/>
      </w:pPr>
      <w:r>
        <w:t>top informational region shown through facetting or shading; used to identify where additional complexity yields meaningful gains</w:t>
      </w:r>
    </w:p>
    <w:p>
      <w:pPr>
        <w:pStyle w:val="Heading1Custom"/>
      </w:pPr>
      <w:r>
        <w:t>4. tsDyn engine crosswalk</w:t>
      </w:r>
    </w:p>
    <w:p>
      <w:r>
        <w:t>All S2 cells are estimated with Johansen ML through tsDyn::VECM. The engine does not impose the research interpretation; it only provides admissible deterministic placements and reduced-rank estimates. Interpretation comes from the design.</w:t>
      </w:r>
    </w:p>
    <w:p>
      <w:pPr>
        <w:pStyle w:val="Heading2Custom"/>
      </w:pPr>
      <w:r>
        <w:t>Deterministic knobs in tsDyn</w:t>
      </w:r>
    </w:p>
    <w:p>
      <w:pPr>
        <w:pStyle w:val="CodeCustom"/>
      </w:pPr>
      <w:r>
        <w:t>include controls short-run deterministic terms; LRinclude controls long-run deterministic terms</w:t>
      </w:r>
    </w:p>
    <w:p>
      <w:pPr>
        <w:pStyle w:val="Heading2Custom"/>
      </w:pPr>
      <w:r>
        <w:t>Stability discipline</w:t>
      </w:r>
    </w:p>
    <w:p>
      <w:pPr>
        <w:pStyle w:val="CodeCustom"/>
      </w:pPr>
      <w:r>
        <w:t>a cell is admissible only if the constrained-rank VECM converges and the implied levels-VAR companion roots show the expected number of unit roots (m − r) with no additional explosive roots</w:t>
      </w:r>
    </w:p>
    <w:p>
      <w:pPr>
        <w:pStyle w:val="Heading1Custom"/>
      </w:pPr>
      <w:r>
        <w:t>5. Helpers section (implementation chunks already drafted)</w:t>
      </w:r>
    </w:p>
    <w:p>
      <w:r>
        <w:t>The design is conceptually frozen independently of code, but the following helper chunks have already been drafted and are included here for future implementation continuity.</w:t>
      </w:r>
    </w:p>
    <w:p>
      <w:pPr>
        <w:pStyle w:val="Heading1Custom"/>
      </w:pPr>
      <w:r>
        <w:t>6. Freeze-readiness assessment</w:t>
      </w:r>
    </w:p>
    <w:p>
      <w:r>
        <w:t>The strategy is conceptually close to saturation. The remaining open issues are at the implementation layer, not the design layer.</w:t>
      </w:r>
    </w:p>
    <w:p>
      <w:pPr>
        <w:pStyle w:val="Heading2Custom"/>
      </w:pPr>
      <w:r>
        <w:t>Freeze verdict</w:t>
      </w:r>
    </w:p>
    <w:p>
      <w:pPr>
        <w:pStyle w:val="CodeCustom"/>
      </w:pPr>
      <w:r>
        <w:t>The S2 design can be frozen as a conceptual object. The main remaining risks concern coding choices for how q is computed ex post, exact k_total counting in the system, and visual density management in the final plots, not gaps in the empirical logic.</w:t>
      </w:r>
    </w:p>
    <w:p>
      <w:pPr>
        <w:pStyle w:val="Heading2Custom"/>
      </w:pPr>
      <w:r>
        <w:t>Helper 1 — tsDyn deterministic branch mapping</w:t>
      </w:r>
    </w:p>
    <w:p>
      <w:pPr>
        <w:pStyle w:val="CodeCustom"/>
      </w:pPr>
      <w:r>
        <w:t>map_det_branch_tsdyn &lt;- function(d) {</w:t>
      </w:r>
    </w:p>
    <w:p>
      <w:pPr>
        <w:pStyle w:val="CodeCustom"/>
      </w:pPr>
      <w:r>
        <w:t xml:space="preserve">  if (d == "d0") return(list(include = "none",  LRinclude = "none"))</w:t>
      </w:r>
    </w:p>
    <w:p>
      <w:pPr>
        <w:pStyle w:val="CodeCustom"/>
      </w:pPr>
      <w:r>
        <w:t xml:space="preserve">  if (d == "d1") return(list(include = "none",  LRinclude = "const"))</w:t>
      </w:r>
    </w:p>
    <w:p>
      <w:pPr>
        <w:pStyle w:val="CodeCustom"/>
      </w:pPr>
      <w:r>
        <w:t xml:space="preserve">  if (d == "d2") return(list(include = "const", LRinclude = "none"))</w:t>
      </w:r>
    </w:p>
    <w:p>
      <w:pPr>
        <w:pStyle w:val="CodeCustom"/>
      </w:pPr>
      <w:r>
        <w:t xml:space="preserve">  if (d == "d3") return(list(include = "const", LRinclude = "const"))</w:t>
      </w:r>
    </w:p>
    <w:p>
      <w:pPr>
        <w:pStyle w:val="CodeCustom"/>
      </w:pPr>
      <w:r>
        <w:t xml:space="preserve">  stop(sprintf("Unknown deterministic branch: %s", d), call. = FALSE)</w:t>
      </w:r>
    </w:p>
    <w:p>
      <w:pPr>
        <w:pStyle w:val="CodeCustom"/>
      </w:pPr>
      <w:r>
        <w:t>}</w:t>
      </w:r>
    </w:p>
    <w:p>
      <w:pPr>
        <w:pStyle w:val="Heading2Custom"/>
      </w:pPr>
      <w:r>
        <w:t>Helper 2 — historical toggle mapping</w:t>
      </w:r>
    </w:p>
    <w:p>
      <w:pPr>
        <w:pStyle w:val="CodeCustom"/>
      </w:pPr>
      <w:r>
        <w:t>map_hist_toggle_exogen &lt;- function(data_exog, h,</w:t>
      </w:r>
    </w:p>
    <w:p>
      <w:pPr>
        <w:pStyle w:val="CodeCustom"/>
      </w:pPr>
      <w:r>
        <w:t xml:space="preserve">                                   col_1956 = "D1956",</w:t>
      </w:r>
    </w:p>
    <w:p>
      <w:pPr>
        <w:pStyle w:val="CodeCustom"/>
      </w:pPr>
      <w:r>
        <w:t xml:space="preserve">                                   col_1973 = "D1973",</w:t>
      </w:r>
    </w:p>
    <w:p>
      <w:pPr>
        <w:pStyle w:val="CodeCustom"/>
      </w:pPr>
      <w:r>
        <w:t xml:space="preserve">                                   col_1980 = "D1980") {</w:t>
      </w:r>
    </w:p>
    <w:p>
      <w:pPr>
        <w:pStyle w:val="CodeCustom"/>
      </w:pPr>
      <w:r>
        <w:t xml:space="preserve">  if (h == "h0") return(NULL)</w:t>
      </w:r>
    </w:p>
    <w:p>
      <w:pPr>
        <w:pStyle w:val="CodeCustom"/>
      </w:pPr>
      <w:r>
        <w:t xml:space="preserve">  if (h == "h1") return(as.data.frame(data_exog[, c(col_1973), drop = FALSE]))</w:t>
      </w:r>
    </w:p>
    <w:p>
      <w:pPr>
        <w:pStyle w:val="CodeCustom"/>
      </w:pPr>
      <w:r>
        <w:t xml:space="preserve">  if (h == "h2") return(as.data.frame(data_exog[, c(col_1956, col_1973, col_1980), drop = FALSE]))</w:t>
      </w:r>
    </w:p>
    <w:p>
      <w:pPr>
        <w:pStyle w:val="CodeCustom"/>
      </w:pPr>
      <w:r>
        <w:t xml:space="preserve">  stop(sprintf("Unknown historical toggle: %s", h), call. = FALSE)</w:t>
      </w:r>
    </w:p>
    <w:p>
      <w:pPr>
        <w:pStyle w:val="CodeCustom"/>
      </w:pPr>
      <w:r>
        <w:t>}</w:t>
      </w:r>
    </w:p>
    <w:p>
      <w:pPr>
        <w:pStyle w:val="Heading2Custom"/>
      </w:pPr>
      <w:r>
        <w:t>Helper 3 — compact specification code</w:t>
      </w:r>
    </w:p>
    <w:p>
      <w:pPr>
        <w:pStyle w:val="CodeCustom"/>
      </w:pPr>
      <w:r>
        <w:t>make_s2_spec_id &lt;- function(m, r, p, q, d, h) {</w:t>
      </w:r>
    </w:p>
    <w:p>
      <w:pPr>
        <w:pStyle w:val="CodeCustom"/>
      </w:pPr>
      <w:r>
        <w:t xml:space="preserve">  paste0("m", m, "-r", r, "-p", p, "-q", q, "-", d, "-", h)</w:t>
      </w:r>
    </w:p>
    <w:p>
      <w:pPr>
        <w:pStyle w:val="CodeCustom"/>
      </w:pPr>
      <w:r>
        <w:t>}</w:t>
      </w:r>
    </w:p>
    <w:p>
      <w:pPr>
        <w:pStyle w:val="Heading2Custom"/>
      </w:pPr>
      <w:r>
        <w:t>Helper 4 — root diagnostics summary</w:t>
      </w:r>
    </w:p>
    <w:p>
      <w:pPr>
        <w:pStyle w:val="CodeCustom"/>
      </w:pPr>
      <w:r>
        <w:t>vecm_root_summary_row &lt;- function(mod, r, spec_id, m, p, q, d, h,</w:t>
      </w:r>
    </w:p>
    <w:p>
      <w:pPr>
        <w:pStyle w:val="CodeCustom"/>
      </w:pPr>
      <w:r>
        <w:t xml:space="preserve">                                  tol_unit = 1e-3,</w:t>
      </w:r>
    </w:p>
    <w:p>
      <w:pPr>
        <w:pStyle w:val="CodeCustom"/>
      </w:pPr>
      <w:r>
        <w:t xml:space="preserve">                                  tol_explosive = 1e-6,</w:t>
      </w:r>
    </w:p>
    <w:p>
      <w:pPr>
        <w:pStyle w:val="CodeCustom"/>
      </w:pPr>
      <w:r>
        <w:t xml:space="preserve">                                  unit_root_rule = "exact") {</w:t>
      </w:r>
    </w:p>
    <w:p>
      <w:pPr>
        <w:pStyle w:val="CodeCustom"/>
      </w:pPr>
      <w:r>
        <w:t xml:space="preserve">  dg &lt;- vecm_root_diagnostics(mod = mod, r = r,</w:t>
      </w:r>
    </w:p>
    <w:p>
      <w:pPr>
        <w:pStyle w:val="CodeCustom"/>
      </w:pPr>
      <w:r>
        <w:t xml:space="preserve">                              tol_unit = tol_unit,</w:t>
      </w:r>
    </w:p>
    <w:p>
      <w:pPr>
        <w:pStyle w:val="CodeCustom"/>
      </w:pPr>
      <w:r>
        <w:t xml:space="preserve">                              tol_explosive = tol_explosive,</w:t>
      </w:r>
    </w:p>
    <w:p>
      <w:pPr>
        <w:pStyle w:val="CodeCustom"/>
      </w:pPr>
      <w:r>
        <w:t xml:space="preserve">                              unit_root_rule = unit_root_rule)</w:t>
      </w:r>
    </w:p>
    <w:p>
      <w:pPr>
        <w:pStyle w:val="CodeCustom"/>
      </w:pPr>
      <w:r>
        <w:t xml:space="preserve">  cbind(data.frame(spec_id = spec_id, m = m, p = p, q = q, d = d, h = h,</w:t>
      </w:r>
    </w:p>
    <w:p>
      <w:pPr>
        <w:pStyle w:val="CodeCustom"/>
      </w:pPr>
      <w:r>
        <w:t xml:space="preserve">                   stringsAsFactors = FALSE), dg$summary)</w:t>
      </w:r>
    </w:p>
    <w:p>
      <w:pPr>
        <w:pStyle w:val="CodeCustom"/>
      </w:pPr>
      <w:r>
        <w:t>}</w:t>
      </w:r>
    </w:p>
    <w:p>
      <w:pPr>
        <w:pStyle w:val="Heading2Custom"/>
      </w:pPr>
      <w:r>
        <w:t>Helper 5 — master grid runner skeleton</w:t>
      </w:r>
    </w:p>
    <w:p>
      <w:pPr>
        <w:pStyle w:val="CodeCustom"/>
      </w:pPr>
      <w:r>
        <w:t>run_s2_grid &lt;- function(grid_df, data_main, data_exog = NULL, estim = "ML") {</w:t>
      </w:r>
    </w:p>
    <w:p>
      <w:pPr>
        <w:pStyle w:val="CodeCustom"/>
      </w:pPr>
      <w:r>
        <w:t xml:space="preserve">  # iterate over Spec = {m, r, p, q, d, h}</w:t>
      </w:r>
    </w:p>
    <w:p>
      <w:pPr>
        <w:pStyle w:val="CodeCustom"/>
      </w:pPr>
      <w:r>
        <w:t xml:space="preserve">  # estimate Johansen ML VECM in each cell</w:t>
      </w:r>
    </w:p>
    <w:p>
      <w:pPr>
        <w:pStyle w:val="CodeCustom"/>
      </w:pPr>
      <w:r>
        <w:t xml:space="preserve">  # collect logLik, -2logLik, k_total, IC, and root diagnostics</w:t>
      </w:r>
    </w:p>
    <w:p>
      <w:pPr>
        <w:pStyle w:val="CodeCustom"/>
      </w:pPr>
      <w:r>
        <w:t xml:space="preserve">  # return a tidy master table plus a long roots table</w:t>
      </w:r>
    </w:p>
    <w:p>
      <w:pPr>
        <w:pStyle w:val="CodeCustom"/>
      </w:pPr>
      <w:r>
        <w:t>}</w:t>
      </w:r>
    </w:p>
    <w:p>
      <w:pPr>
        <w:pStyle w:val="Heading1Custom"/>
      </w:pPr>
      <w:r>
        <w:t>7. S2 — Final Frozen Object Dictionary</w:t>
      </w:r>
    </w:p>
    <w:p>
      <w:pPr>
        <w:pStyle w:val="Heading2Custom"/>
      </w:pPr>
      <w:r>
        <w:t>Core specification object</w:t>
      </w:r>
    </w:p>
    <w:p>
      <w:r>
        <w:t>Spec = {m, r, p, q, d, h}</w:t>
      </w:r>
    </w:p>
    <w:p>
      <w:pPr>
        <w:pStyle w:val="Heading2Custom"/>
      </w:pPr>
      <w:r>
        <w:t>m — system dimension</w:t>
      </w:r>
    </w:p>
    <w:p>
      <w:r>
        <w:t>m2 = (lnY_t, lnK_t);  m3 = (lnY_t, lnK_t, ln e_t)</w:t>
      </w:r>
    </w:p>
    <w:p>
      <w:pPr>
        <w:pStyle w:val="Heading2Custom"/>
      </w:pPr>
      <w:r>
        <w:t>r — confinement dimension</w:t>
      </w:r>
    </w:p>
    <w:p>
      <w:r>
        <w:t>r1 = one stationary structural relation;  r2 = two stationary structural relations; locked mapping: m2 → r1, m3 → r2</w:t>
      </w:r>
    </w:p>
    <w:p>
      <w:pPr>
        <w:pStyle w:val="Heading2Custom"/>
      </w:pPr>
      <w:r>
        <w:t>p — lag depth</w:t>
      </w:r>
    </w:p>
    <w:p>
      <w:r>
        <w:t>p1, p2, p3, p4 (VECM lag ceiling)</w:t>
      </w:r>
    </w:p>
    <w:p>
      <w:pPr>
        <w:pStyle w:val="Heading2Custom"/>
      </w:pPr>
      <w:r>
        <w:t>q — short-run memory descriptor</w:t>
      </w:r>
    </w:p>
    <w:p>
      <w:r>
        <w:t>q-sym = symmetric treatment;  q-kXX-yYY = asymmetric memory shares with s_K = XX/100 and s_Y = YY/100; in m3, s_e = 1 − s_K − s_Y</w:t>
      </w:r>
    </w:p>
    <w:p>
      <w:pPr>
        <w:pStyle w:val="Heading2Custom"/>
      </w:pPr>
      <w:r>
        <w:t>d — deterministic structure</w:t>
      </w:r>
    </w:p>
    <w:p>
      <w:r>
        <w:t>d0 = no LR or SR mean;  d1 = LR mean only;  d2 = SR mean only;  d3 = LR + SR mean</w:t>
      </w:r>
    </w:p>
    <w:p>
      <w:pPr>
        <w:pStyle w:val="Heading2Custom"/>
      </w:pPr>
      <w:r>
        <w:t>h — historical architecture</w:t>
      </w:r>
    </w:p>
    <w:p>
      <w:r>
        <w:t>h0 = none;  h1 = full institutional shock only (1973);  h2 = full institutional shock + partial shocks (1973 + 1956 + 1980, with partial shocks restricted to reserve-army mechanism shifts and short-run parametric shifts)</w:t>
      </w:r>
    </w:p>
    <w:p>
      <w:pPr>
        <w:pStyle w:val="Heading2Custom"/>
      </w:pPr>
      <w:r>
        <w:t>Compact specification code</w:t>
      </w:r>
    </w:p>
    <w:p>
      <w:pPr>
        <w:pStyle w:val="CodeCustom"/>
      </w:pPr>
      <w:r>
        <w:t>m2-r1-p2-q-sym-d1-h0</w:t>
      </w:r>
    </w:p>
    <w:p>
      <w:pPr>
        <w:pStyle w:val="CodeCustom"/>
      </w:pPr>
      <w:r>
        <w:t>m2-r1-p4-q-k55-y45-d1-h1</w:t>
      </w:r>
    </w:p>
    <w:p>
      <w:pPr>
        <w:pStyle w:val="CodeCustom"/>
      </w:pPr>
      <w:r>
        <w:t>m3-r2-p3-q-k40-y35-d3-h2</w:t>
      </w:r>
    </w:p>
    <w:p>
      <w:pPr>
        <w:pStyle w:val="Heading1Custom"/>
      </w:pPr>
      <w:r>
        <w:t>8. Assessment of freeze completeness</w:t>
      </w:r>
    </w:p>
    <w:p>
      <w:r>
        <w:t>What is already frozen: system progression, rank mapping, p-grid, q tags, deterministic ladder, historical toggles, admissibility logic, visualization grammar, and the post-selection interpretation order.</w:t>
      </w:r>
    </w:p>
    <w:p>
      <w:r>
        <w:t>What is intentionally descriptive rather than restrictive: q. Memory shares are summarized ex post and do not impose short-run Γ restrictions during estimation.</w:t>
      </w:r>
    </w:p>
    <w:p>
      <w:r>
        <w:t>What still lives at the implementation layer: exact k_total counting, ex-post calculation of q from estimated short-run structure, and final label density choices in the published plots.</w:t>
      </w:r>
    </w:p>
    <w:p>
      <w:r>
        <w:t>Angles not left out conceptually: rank meaning, deterministic placement, institutional-shock architecture, frontier design, and stability discipline are all covered. The remaining open items are engineering choices, not missing empirical logic.</w:t>
      </w:r>
    </w:p>
    <w:p>
      <w:r>
        <w:t>Bottom line: S2 is ready to be frozen as an empirical strategy. Any further changes should be justified as implementation refinements or later robustness extensions, not as unresolved design gaps.</w:t>
      </w:r>
    </w:p>
    <w:p>
      <w:pPr>
        <w:pStyle w:val="Heading1Custom"/>
      </w:pPr>
      <w:r>
        <w:t>Appendix A. Deterministic crosswalk</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436"/>
            <w:vAlign w:val="center"/>
            <w:shd w:fill="D9E5F6"/>
          </w:tcPr>
          <w:p>
            <w:pPr>
              <w:spacing w:after="0"/>
            </w:pPr>
            <w:r>
              <w:rPr>
                <w:b/>
              </w:rPr>
              <w:t>Branch</w:t>
            </w:r>
          </w:p>
        </w:tc>
        <w:tc>
          <w:tcPr>
            <w:tcW w:type="dxa" w:w="2436"/>
            <w:vAlign w:val="center"/>
            <w:shd w:fill="D9E5F6"/>
          </w:tcPr>
          <w:p>
            <w:pPr>
              <w:spacing w:after="0"/>
            </w:pPr>
            <w:r>
              <w:rPr>
                <w:b/>
              </w:rPr>
              <w:t>Economic reading</w:t>
            </w:r>
          </w:p>
        </w:tc>
        <w:tc>
          <w:tcPr>
            <w:tcW w:type="dxa" w:w="2436"/>
            <w:vAlign w:val="center"/>
            <w:shd w:fill="D9E5F6"/>
          </w:tcPr>
          <w:p>
            <w:pPr>
              <w:spacing w:after="0"/>
            </w:pPr>
            <w:r>
              <w:rPr>
                <w:b/>
              </w:rPr>
              <w:t>tsDyn mapping</w:t>
            </w:r>
          </w:p>
        </w:tc>
        <w:tc>
          <w:tcPr>
            <w:tcW w:type="dxa" w:w="2436"/>
            <w:vAlign w:val="center"/>
            <w:shd w:fill="D9E5F6"/>
          </w:tcPr>
          <w:p>
            <w:pPr>
              <w:spacing w:after="0"/>
            </w:pPr>
            <w:r>
              <w:rPr>
                <w:b/>
              </w:rPr>
              <w:t>Role</w:t>
            </w:r>
          </w:p>
        </w:tc>
      </w:tr>
      <w:tr>
        <w:tc>
          <w:tcPr>
            <w:tcW w:type="dxa" w:w="2436"/>
            <w:vAlign w:val="center"/>
          </w:tcPr>
          <w:p>
            <w:pPr>
              <w:spacing w:after="0"/>
            </w:pPr>
            <w:r>
              <w:t>d0</w:t>
            </w:r>
          </w:p>
        </w:tc>
        <w:tc>
          <w:tcPr>
            <w:tcW w:type="dxa" w:w="2436"/>
            <w:vAlign w:val="center"/>
          </w:tcPr>
          <w:p>
            <w:pPr>
              <w:spacing w:after="0"/>
            </w:pPr>
            <w:r>
              <w:t>No mean in LR or SR</w:t>
            </w:r>
          </w:p>
        </w:tc>
        <w:tc>
          <w:tcPr>
            <w:tcW w:type="dxa" w:w="2436"/>
            <w:vAlign w:val="center"/>
          </w:tcPr>
          <w:p>
            <w:pPr>
              <w:spacing w:after="0"/>
            </w:pPr>
            <w:r>
              <w:t>include="none"; LRinclude="none"</w:t>
            </w:r>
          </w:p>
        </w:tc>
        <w:tc>
          <w:tcPr>
            <w:tcW w:type="dxa" w:w="2436"/>
            <w:vAlign w:val="center"/>
          </w:tcPr>
          <w:p>
            <w:pPr>
              <w:spacing w:after="0"/>
            </w:pPr>
            <w:r>
              <w:t>Severe benchmark</w:t>
            </w:r>
          </w:p>
        </w:tc>
      </w:tr>
      <w:tr>
        <w:tc>
          <w:tcPr>
            <w:tcW w:type="dxa" w:w="2436"/>
            <w:vAlign w:val="center"/>
          </w:tcPr>
          <w:p>
            <w:pPr>
              <w:spacing w:after="0"/>
            </w:pPr>
            <w:r>
              <w:t>d1</w:t>
            </w:r>
          </w:p>
        </w:tc>
        <w:tc>
          <w:tcPr>
            <w:tcW w:type="dxa" w:w="2436"/>
            <w:vAlign w:val="center"/>
          </w:tcPr>
          <w:p>
            <w:pPr>
              <w:spacing w:after="0"/>
            </w:pPr>
            <w:r>
              <w:t>LR mean only</w:t>
            </w:r>
          </w:p>
        </w:tc>
        <w:tc>
          <w:tcPr>
            <w:tcW w:type="dxa" w:w="2436"/>
            <w:vAlign w:val="center"/>
          </w:tcPr>
          <w:p>
            <w:pPr>
              <w:spacing w:after="0"/>
            </w:pPr>
            <w:r>
              <w:t>include="none"; LRinclude="const"</w:t>
            </w:r>
          </w:p>
        </w:tc>
        <w:tc>
          <w:tcPr>
            <w:tcW w:type="dxa" w:w="2436"/>
            <w:vAlign w:val="center"/>
          </w:tcPr>
          <w:p>
            <w:pPr>
              <w:spacing w:after="0"/>
            </w:pPr>
            <w:r>
              <w:t>Structural baseline</w:t>
            </w:r>
          </w:p>
        </w:tc>
      </w:tr>
      <w:tr>
        <w:tc>
          <w:tcPr>
            <w:tcW w:type="dxa" w:w="2436"/>
            <w:vAlign w:val="center"/>
          </w:tcPr>
          <w:p>
            <w:pPr>
              <w:spacing w:after="0"/>
            </w:pPr>
            <w:r>
              <w:t>d2</w:t>
            </w:r>
          </w:p>
        </w:tc>
        <w:tc>
          <w:tcPr>
            <w:tcW w:type="dxa" w:w="2436"/>
            <w:vAlign w:val="center"/>
          </w:tcPr>
          <w:p>
            <w:pPr>
              <w:spacing w:after="0"/>
            </w:pPr>
            <w:r>
              <w:t>SR mean only</w:t>
            </w:r>
          </w:p>
        </w:tc>
        <w:tc>
          <w:tcPr>
            <w:tcW w:type="dxa" w:w="2436"/>
            <w:vAlign w:val="center"/>
          </w:tcPr>
          <w:p>
            <w:pPr>
              <w:spacing w:after="0"/>
            </w:pPr>
            <w:r>
              <w:t>include="const"; LRinclude="none"</w:t>
            </w:r>
          </w:p>
        </w:tc>
        <w:tc>
          <w:tcPr>
            <w:tcW w:type="dxa" w:w="2436"/>
            <w:vAlign w:val="center"/>
          </w:tcPr>
          <w:p>
            <w:pPr>
              <w:spacing w:after="0"/>
            </w:pPr>
            <w:r>
              <w:t>Alternative placement</w:t>
            </w:r>
          </w:p>
        </w:tc>
      </w:tr>
      <w:tr>
        <w:tc>
          <w:tcPr>
            <w:tcW w:type="dxa" w:w="2436"/>
            <w:vAlign w:val="center"/>
          </w:tcPr>
          <w:p>
            <w:pPr>
              <w:spacing w:after="0"/>
            </w:pPr>
            <w:r>
              <w:t>d3</w:t>
            </w:r>
          </w:p>
        </w:tc>
        <w:tc>
          <w:tcPr>
            <w:tcW w:type="dxa" w:w="2436"/>
            <w:vAlign w:val="center"/>
          </w:tcPr>
          <w:p>
            <w:pPr>
              <w:spacing w:after="0"/>
            </w:pPr>
            <w:r>
              <w:t>LR + SR mean</w:t>
            </w:r>
          </w:p>
        </w:tc>
        <w:tc>
          <w:tcPr>
            <w:tcW w:type="dxa" w:w="2436"/>
            <w:vAlign w:val="center"/>
          </w:tcPr>
          <w:p>
            <w:pPr>
              <w:spacing w:after="0"/>
            </w:pPr>
            <w:r>
              <w:t>include="const"; LRinclude="const"</w:t>
            </w:r>
          </w:p>
        </w:tc>
        <w:tc>
          <w:tcPr>
            <w:tcW w:type="dxa" w:w="2436"/>
            <w:vAlign w:val="center"/>
          </w:tcPr>
          <w:p>
            <w:pPr>
              <w:spacing w:after="0"/>
            </w:pPr>
            <w:r>
              <w:t>Flexible robustness</w:t>
            </w:r>
          </w:p>
        </w:tc>
      </w:tr>
    </w:tbl>
    <w:p>
      <w:pPr>
        <w:pStyle w:val="Heading1Custom"/>
      </w:pPr>
      <w:r>
        <w:t>Appendix B. Rank–dimension crosswalk</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436"/>
            <w:vAlign w:val="center"/>
            <w:shd w:fill="D9E5F6"/>
          </w:tcPr>
          <w:p>
            <w:pPr>
              <w:spacing w:after="0"/>
            </w:pPr>
            <w:r>
              <w:rPr>
                <w:b/>
              </w:rPr>
              <w:t>System</w:t>
            </w:r>
          </w:p>
        </w:tc>
        <w:tc>
          <w:tcPr>
            <w:tcW w:type="dxa" w:w="2436"/>
            <w:vAlign w:val="center"/>
            <w:shd w:fill="D9E5F6"/>
          </w:tcPr>
          <w:p>
            <w:pPr>
              <w:spacing w:after="0"/>
            </w:pPr>
            <w:r>
              <w:rPr>
                <w:b/>
              </w:rPr>
              <w:t>Rank</w:t>
            </w:r>
          </w:p>
        </w:tc>
        <w:tc>
          <w:tcPr>
            <w:tcW w:type="dxa" w:w="2436"/>
            <w:vAlign w:val="center"/>
            <w:shd w:fill="D9E5F6"/>
          </w:tcPr>
          <w:p>
            <w:pPr>
              <w:spacing w:after="0"/>
            </w:pPr>
            <w:r>
              <w:rPr>
                <w:b/>
              </w:rPr>
              <w:t>Stochastic trends</w:t>
            </w:r>
          </w:p>
        </w:tc>
        <w:tc>
          <w:tcPr>
            <w:tcW w:type="dxa" w:w="2436"/>
            <w:vAlign w:val="center"/>
            <w:shd w:fill="D9E5F6"/>
          </w:tcPr>
          <w:p>
            <w:pPr>
              <w:spacing w:after="0"/>
            </w:pPr>
            <w:r>
              <w:rPr>
                <w:b/>
              </w:rPr>
              <w:t>Economic reading</w:t>
            </w:r>
          </w:p>
        </w:tc>
      </w:tr>
      <w:tr>
        <w:tc>
          <w:tcPr>
            <w:tcW w:type="dxa" w:w="2436"/>
            <w:vAlign w:val="center"/>
          </w:tcPr>
          <w:p>
            <w:pPr>
              <w:spacing w:after="0"/>
            </w:pPr>
            <w:r>
              <w:t>m2: (lnY, lnK)</w:t>
            </w:r>
          </w:p>
        </w:tc>
        <w:tc>
          <w:tcPr>
            <w:tcW w:type="dxa" w:w="2436"/>
            <w:vAlign w:val="center"/>
          </w:tcPr>
          <w:p>
            <w:pPr>
              <w:spacing w:after="0"/>
            </w:pPr>
            <w:r>
              <w:t>r1</w:t>
            </w:r>
          </w:p>
        </w:tc>
        <w:tc>
          <w:tcPr>
            <w:tcW w:type="dxa" w:w="2436"/>
            <w:vAlign w:val="center"/>
          </w:tcPr>
          <w:p>
            <w:pPr>
              <w:spacing w:after="0"/>
            </w:pPr>
            <w:r>
              <w:t>1</w:t>
            </w:r>
          </w:p>
        </w:tc>
        <w:tc>
          <w:tcPr>
            <w:tcW w:type="dxa" w:w="2436"/>
            <w:vAlign w:val="center"/>
          </w:tcPr>
          <w:p>
            <w:pPr>
              <w:spacing w:after="0"/>
            </w:pPr>
            <w:r>
              <w:t>Capacity–utilization confinement</w:t>
            </w:r>
          </w:p>
        </w:tc>
      </w:tr>
      <w:tr>
        <w:tc>
          <w:tcPr>
            <w:tcW w:type="dxa" w:w="2436"/>
            <w:vAlign w:val="center"/>
          </w:tcPr>
          <w:p>
            <w:pPr>
              <w:spacing w:after="0"/>
            </w:pPr>
            <w:r>
              <w:t>m3: (lnY, lnK, ln e)</w:t>
            </w:r>
          </w:p>
        </w:tc>
        <w:tc>
          <w:tcPr>
            <w:tcW w:type="dxa" w:w="2436"/>
            <w:vAlign w:val="center"/>
          </w:tcPr>
          <w:p>
            <w:pPr>
              <w:spacing w:after="0"/>
            </w:pPr>
            <w:r>
              <w:t>r2</w:t>
            </w:r>
          </w:p>
        </w:tc>
        <w:tc>
          <w:tcPr>
            <w:tcW w:type="dxa" w:w="2436"/>
            <w:vAlign w:val="center"/>
          </w:tcPr>
          <w:p>
            <w:pPr>
              <w:spacing w:after="0"/>
            </w:pPr>
            <w:r>
              <w:t>1</w:t>
            </w:r>
          </w:p>
        </w:tc>
        <w:tc>
          <w:tcPr>
            <w:tcW w:type="dxa" w:w="2436"/>
            <w:vAlign w:val="center"/>
          </w:tcPr>
          <w:p>
            <w:pPr>
              <w:spacing w:after="0"/>
            </w:pPr>
            <w:r>
              <w:t>Capacity–utilization + reserve-army discipline</w:t>
            </w:r>
          </w:p>
        </w:tc>
      </w:tr>
    </w:tbl>
    <w:p>
      <w:pPr>
        <w:pStyle w:val="Heading1Custom"/>
      </w:pPr>
      <w:r>
        <w:t>Appendix C. Short-run memory crosswalk</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vAlign w:val="center"/>
            <w:shd w:fill="D9E5F6"/>
          </w:tcPr>
          <w:p>
            <w:pPr>
              <w:spacing w:after="0"/>
            </w:pPr>
            <w:r>
              <w:rPr>
                <w:b/>
              </w:rPr>
              <w:t>q tag</w:t>
            </w:r>
          </w:p>
        </w:tc>
        <w:tc>
          <w:tcPr>
            <w:tcW w:type="dxa" w:w="3249"/>
            <w:vAlign w:val="center"/>
            <w:shd w:fill="D9E5F6"/>
          </w:tcPr>
          <w:p>
            <w:pPr>
              <w:spacing w:after="0"/>
            </w:pPr>
            <w:r>
              <w:rPr>
                <w:b/>
              </w:rPr>
              <w:t>System</w:t>
            </w:r>
          </w:p>
        </w:tc>
        <w:tc>
          <w:tcPr>
            <w:tcW w:type="dxa" w:w="3249"/>
            <w:vAlign w:val="center"/>
            <w:shd w:fill="D9E5F6"/>
          </w:tcPr>
          <w:p>
            <w:pPr>
              <w:spacing w:after="0"/>
            </w:pPr>
            <w:r>
              <w:rPr>
                <w:b/>
              </w:rPr>
              <w:t>Reading</w:t>
            </w:r>
          </w:p>
        </w:tc>
      </w:tr>
      <w:tr>
        <w:tc>
          <w:tcPr>
            <w:tcW w:type="dxa" w:w="3249"/>
            <w:vAlign w:val="center"/>
          </w:tcPr>
          <w:p>
            <w:pPr>
              <w:spacing w:after="0"/>
            </w:pPr>
            <w:r>
              <w:t>q-sym</w:t>
            </w:r>
          </w:p>
        </w:tc>
        <w:tc>
          <w:tcPr>
            <w:tcW w:type="dxa" w:w="3249"/>
            <w:vAlign w:val="center"/>
          </w:tcPr>
          <w:p>
            <w:pPr>
              <w:spacing w:after="0"/>
            </w:pPr>
            <w:r>
              <w:t>m2 / m3</w:t>
            </w:r>
          </w:p>
        </w:tc>
        <w:tc>
          <w:tcPr>
            <w:tcW w:type="dxa" w:w="3249"/>
            <w:vAlign w:val="center"/>
          </w:tcPr>
          <w:p>
            <w:pPr>
              <w:spacing w:after="0"/>
            </w:pPr>
            <w:r>
              <w:t>Neutral benchmark short-run architecture</w:t>
            </w:r>
          </w:p>
        </w:tc>
      </w:tr>
      <w:tr>
        <w:tc>
          <w:tcPr>
            <w:tcW w:type="dxa" w:w="3249"/>
            <w:vAlign w:val="center"/>
          </w:tcPr>
          <w:p>
            <w:pPr>
              <w:spacing w:after="0"/>
            </w:pPr>
            <w:r>
              <w:t>q-kXX-yYY</w:t>
            </w:r>
          </w:p>
        </w:tc>
        <w:tc>
          <w:tcPr>
            <w:tcW w:type="dxa" w:w="3249"/>
            <w:vAlign w:val="center"/>
          </w:tcPr>
          <w:p>
            <w:pPr>
              <w:spacing w:after="0"/>
            </w:pPr>
            <w:r>
              <w:t>m2</w:t>
            </w:r>
          </w:p>
        </w:tc>
        <w:tc>
          <w:tcPr>
            <w:tcW w:type="dxa" w:w="3249"/>
            <w:vAlign w:val="center"/>
          </w:tcPr>
          <w:p>
            <w:pPr>
              <w:spacing w:after="0"/>
            </w:pPr>
            <w:r>
              <w:t>Asymmetric memory split between K and Y</w:t>
            </w:r>
          </w:p>
        </w:tc>
      </w:tr>
      <w:tr>
        <w:tc>
          <w:tcPr>
            <w:tcW w:type="dxa" w:w="3249"/>
            <w:vAlign w:val="center"/>
          </w:tcPr>
          <w:p>
            <w:pPr>
              <w:spacing w:after="0"/>
            </w:pPr>
            <w:r>
              <w:t>q-kXX-yYY</w:t>
            </w:r>
          </w:p>
        </w:tc>
        <w:tc>
          <w:tcPr>
            <w:tcW w:type="dxa" w:w="3249"/>
            <w:vAlign w:val="center"/>
          </w:tcPr>
          <w:p>
            <w:pPr>
              <w:spacing w:after="0"/>
            </w:pPr>
            <w:r>
              <w:t>m3</w:t>
            </w:r>
          </w:p>
        </w:tc>
        <w:tc>
          <w:tcPr>
            <w:tcW w:type="dxa" w:w="3249"/>
            <w:vAlign w:val="center"/>
          </w:tcPr>
          <w:p>
            <w:pPr>
              <w:spacing w:after="0"/>
            </w:pPr>
            <w:r>
              <w:t>Asymmetric split across K, Y, with e as residual share</w:t>
            </w:r>
          </w:p>
        </w:tc>
      </w:tr>
    </w:tbl>
    <w:sectPr w:rsidR="00FC693F" w:rsidRPr="0006063C" w:rsidSect="00034616">
      <w:footerReference w:type="default" r:id="rId10"/>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rPr>
      <w:rFonts w:ascii="Aptos" w:hAnsi="Aptos"/>
      <w:b/>
      <w:color w:val="1F3B73"/>
      <w:sz w:val="36"/>
    </w:rPr>
  </w:style>
  <w:style w:type="paragraph" w:customStyle="1" w:styleId="SubtitleCustom">
    <w:name w:val="SubtitleCustom"/>
    <w:rPr>
      <w:rFonts w:ascii="Aptos" w:hAnsi="Aptos"/>
      <w:b w:val="0"/>
      <w:color w:val="5A5A5A"/>
      <w:sz w:val="21"/>
    </w:rPr>
  </w:style>
  <w:style w:type="paragraph" w:customStyle="1" w:styleId="Heading1Custom">
    <w:name w:val="Heading1Custom"/>
    <w:pPr>
      <w:spacing w:before="200" w:after="80"/>
    </w:pPr>
    <w:rPr>
      <w:rFonts w:ascii="Aptos" w:hAnsi="Aptos"/>
      <w:b/>
      <w:color w:val="1F3B73"/>
      <w:sz w:val="27"/>
    </w:rPr>
  </w:style>
  <w:style w:type="paragraph" w:customStyle="1" w:styleId="Heading2Custom">
    <w:name w:val="Heading2Custom"/>
    <w:pPr>
      <w:spacing w:before="200" w:after="80"/>
    </w:pPr>
    <w:rPr>
      <w:rFonts w:ascii="Aptos" w:hAnsi="Aptos"/>
      <w:b/>
      <w:color w:val="343434"/>
      <w:sz w:val="23"/>
    </w:rPr>
  </w:style>
  <w:style w:type="paragraph" w:customStyle="1" w:styleId="CodeCustom">
    <w:name w:val="CodeCustom"/>
    <w:pPr>
      <w:spacing w:before="40" w:after="40"/>
      <w:ind w:left="340"/>
    </w:pPr>
    <w:rPr>
      <w:rFonts w:ascii="Courier New" w:hAnsi="Courier New"/>
      <w:b w:val="0"/>
      <w:color w:val="1E1E1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