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1-3</w:t>
      </w:r>
    </w:p>
    <w:p>
      <w:r>
        <w:rPr>
          <w:i/>
        </w:rPr>
        <w:t>Figure 1-4</w:t>
      </w:r>
    </w:p>
    <w:p>
      <w:r>
        <w:rPr>
          <w:i/>
        </w:rPr>
        <w:t>Figure 1-5</w:t>
      </w:r>
    </w:p>
    <w:p>
      <w:r>
        <w:rPr>
          <w:i/>
        </w:rPr>
        <w:t>technology in KM provides enormous advantages (Figure 1).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3 shows the annual number of articles released from 2012 to 2022. The only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4 illustrates the cloud words generated from the connection between the</w:t>
      </w:r>
    </w:p>
    <w:p>
      <w:r>
        <w:rPr>
          <w:i/>
        </w:rPr>
        <w:t>Figure 6. General applications of AI and KM in studied articles.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