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Figure 1-1</w:t>
      </w:r>
    </w:p>
    <w:p>
      <w:r>
        <w:rPr>
          <w:i/>
        </w:rPr>
        <w:t>Figure 1. Mean distribution of participant’s trust in AI’s ability and benevolence across domains.</w:t>
      </w:r>
    </w:p>
    <w:p>
      <w:r>
        <w:rPr>
          <w:i/>
        </w:rPr>
        <w:t>Figure 1. Mean distribution of participant’s trust in AI’s ability and benevolence across domains.</w:t>
      </w:r>
    </w:p>
    <w:p>
      <w:r>
        <w:rPr>
          <w:i/>
        </w:rPr>
        <w:t>Figure 3. Mean distribution of responses across AI in healthcare. Note: error bars indicate stan-</w:t>
      </w:r>
    </w:p>
    <w:p>
      <w:r>
        <w:rPr>
          <w:i/>
        </w:rPr>
        <w:t>Figure 3. Mean distribution of responses across AI in healthcare. Note: error bars indicate stan-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