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Figure 1-1</w:t>
      </w:r>
    </w:p>
    <w:p>
      <w:r>
        <w:rPr>
          <w:i/>
        </w:rPr>
        <w:t>Figure 1. testFAILS transformation into testFAILS‑2.</w:t>
      </w:r>
    </w:p>
    <w:p>
      <w:r>
        <w:rPr>
          <w:i/>
        </w:rPr>
        <w:t>Figure 2. Overview of the LMSYS Chatbot Arena: (a) votes per organization for top 150 models;</w:t>
      </w:r>
    </w:p>
    <w:p>
      <w:r>
        <w:rPr>
          <w:i/>
        </w:rPr>
        <w:t>Figure 2. Overview of the LMSYS Chatbot Arena: (a) votes per organization for top 150 models;</w:t>
      </w:r>
    </w:p>
    <w:p>
      <w:r>
        <w:rPr>
          <w:i/>
        </w:rPr>
        <w:t>As can be seen from Table 3 and Figure 1, the number of components has increased;</w:t>
      </w:r>
    </w:p>
    <w:p>
      <w:r>
        <w:rPr>
          <w:i/>
        </w:rPr>
        <w:t>As can be seen from Table 3 and Figure 1, the number of components has increased;</w:t>
      </w:r>
    </w:p>
    <w:p>
      <w:r>
        <w:rPr>
          <w:i/>
        </w:rPr>
        <w:t>Figure 5. Claude 3‑Opus refused to answer the prompt (Algorithm 2, August 2024).</w:t>
      </w:r>
    </w:p>
    <w:p>
      <w:r>
        <w:rPr>
          <w:i/>
        </w:rPr>
        <w:t>Figure 6. Proposed model for the Turing Test simulation.</w:t>
      </w:r>
    </w:p>
    <w:p>
      <w:r>
        <w:rPr>
          <w:i/>
        </w:rPr>
        <w:t>Figure 6. Proposed model for the Turing Test simulation.</w:t>
      </w:r>
    </w:p>
    <w:p>
      <w:r>
        <w:rPr>
          <w:i/>
        </w:rPr>
        <w:t>Figure 8 presents the backend, also known as the OpenAI‑side settings, of the AI assistant.</w:t>
      </w:r>
    </w:p>
    <w:p>
      <w:r>
        <w:rPr>
          <w:i/>
        </w:rPr>
        <w:t>shown below in Figure 9.</w:t>
      </w:r>
    </w:p>
    <w:p>
      <w:r>
        <w:rPr>
          <w:i/>
        </w:rPr>
        <w:t>A student testimonial on ChatGPT usage in class is provided in Figure 10.</w:t>
      </w:r>
    </w:p>
    <w:p>
      <w:r>
        <w:rPr>
          <w:i/>
        </w:rPr>
        <w:t>A student testimonial on ChatGPT usage in class is provided in Figure 10.</w:t>
      </w:r>
    </w:p>
    <w:p>
      <w:r>
        <w:rPr>
          <w:i/>
        </w:rPr>
        <w:t>Figure 12.</w:t>
      </w:r>
    </w:p>
    <w:p>
      <w:r>
        <w:rPr>
          <w:i/>
        </w:rPr>
        <w:t>Figure 12.</w:t>
      </w:r>
    </w:p>
    <w:p>
      <w:r>
        <w:rPr>
          <w:i/>
        </w:rPr>
        <w:t>Figure 14. Comparison of Word2Vec embeddings for a Russian sentence using different vector di‑</w:t>
      </w:r>
    </w:p>
    <w:p>
      <w:r>
        <w:rPr>
          <w:i/>
        </w:rPr>
        <w:t>Figure 14. Comparison of Word2Vec embeddings for a Russian sentence using different vector di‑</w:t>
      </w:r>
    </w:p>
    <w:p>
      <w:r>
        <w:rPr>
          <w:i/>
        </w:rPr>
        <w:t>Figure 16. Comparison of embedding cosine similarity between 10 languages in different models,</w:t>
      </w:r>
    </w:p>
    <w:p>
      <w:r>
        <w:rPr>
          <w:i/>
        </w:rPr>
        <w:t>Figure 17 presents a comparative analysis of embedding similarities across various</w:t>
      </w:r>
    </w:p>
    <w:p>
      <w:r>
        <w:rPr>
          <w:i/>
        </w:rPr>
        <w:t>Figure 18. Four‑dimensional visualization of multilingual word embeddings using principal com‑</w:t>
      </w:r>
    </w:p>
    <w:p>
      <w:r>
        <w:rPr>
          <w:i/>
        </w:rPr>
        <w:t>Figure 19. Illustration of strategy reasoning method process, June 2024.</w:t>
      </w:r>
    </w:p>
    <w:p>
      <w:r>
        <w:rPr>
          <w:i/>
        </w:rPr>
        <w:t>Figure 20. Communication frequency and duration comparison between English and Chinese inter‑</w:t>
      </w:r>
    </w:p>
    <w:p>
      <w:r>
        <w:rPr>
          <w:i/>
        </w:rPr>
        <w:t>Figure 20. Communication frequency and duration comparison between English and Chinese inter‑</w:t>
      </w:r>
    </w:p>
    <w:p>
      <w:r>
        <w:rPr>
          <w:i/>
        </w:rPr>
        <w:t>The GUI and the settings of the custom GPT can be seen in Figure 22.</w:t>
      </w:r>
    </w:p>
    <w:p>
      <w:r>
        <w:rPr>
          <w:i/>
        </w:rPr>
        <w:t>(2) Systems should be configured to enforce stricter conversation limits when potential</w:t>
      </w:r>
    </w:p>
    <w:p>
      <w:r>
        <w:rPr>
          <w:i/>
        </w:rPr>
        <w:t>Figure 24. Robust testing of Gemini.</w:t>
      </w:r>
    </w:p>
    <w:p>
      <w:r>
        <w:rPr>
          <w:i/>
        </w:rPr>
        <w:t>Figure 24. Robust testing of Gemini.</w:t>
      </w:r>
    </w:p>
    <w:p>
      <w:r>
        <w:rPr>
          <w:i/>
        </w:rPr>
        <w:t>Figure 26. Utilizing the multimodality of ChatGPT‑4o to extract code from the images.</w:t>
      </w:r>
    </w:p>
    <w:p>
      <w:r>
        <w:rPr>
          <w:i/>
        </w:rPr>
        <w:t>Figure 27. The multimodality of Gemini Advanced and its relationship to YouTube can be used to</w:t>
      </w:r>
    </w:p>
    <w:p>
      <w:r>
        <w:rPr>
          <w:i/>
        </w:rPr>
        <w:t>Figure 28. The transition from Thomas Fuller, the “Calculator from Virginia”, to Figure 01, a robot</w:t>
      </w:r>
    </w:p>
    <w:p>
      <w:r>
        <w:rPr>
          <w:i/>
        </w:rPr>
        <w:t>tion. Figure 29 demonstrates the result of one prompt, pasted in the URL area of a browser</w:t>
      </w:r>
    </w:p>
    <w:p>
      <w:r>
        <w:rPr>
          <w:i/>
        </w:rPr>
        <w:t>ing various industries and aspects of our daily routines. Figure 30 demonstrates the pre‑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