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HormuzPT_Model_Methodology</w:t>
      </w:r>
    </w:p>
    <w:p>
      <w:pPr>
        <w:pStyle w:val="Heading1"/>
      </w:pPr>
      <w:r>
        <w:t>1. Introdução</w:t>
      </w:r>
    </w:p>
    <w:p>
      <w:r>
        <w:t>O projeto HormuzPT tem como principal objetivo a simulação e análise do impacto de cenários de disrupção energética severa no tecido económico português. O problema analítico foca-se na dependência externa de crude e no mecanismo de choque nos preços dos refinados.</w:t>
      </w:r>
    </w:p>
    <w:p>
      <w:r>
        <w:t>O sistema encontra-se formalmente em desenvolvimento. Constitui, para todos os efeitos, um ambiente de exploração exploratória de cenários de stress e não um modelo macroeconómico de Equilíbrio Geral Computável (CGE) completo.</w:t>
      </w:r>
    </w:p>
    <w:p>
      <w:pPr>
        <w:pStyle w:val="Heading1"/>
      </w:pPr>
      <w:r>
        <w:t>2. Motivação económica</w:t>
      </w:r>
    </w:p>
    <w:p>
      <w:r>
        <w:t>A análise de choques energéticos é de importância vital dado o seu caráter sistémico. O aumento do preço do petróleo tem efeitos em cascata em praticamente todos os setores da economia.</w:t>
      </w:r>
    </w:p>
    <w:p>
      <w:r>
        <w:t>Os canais principais de afetação em análise englobam:</w:t>
        <w:br/>
        <w:t>- Preços finais dos combustíveis líquidos.</w:t>
        <w:br/>
        <w:t>- Aumento generalizado dos custos logísticos de transporte rodoviário e mercadorias.</w:t>
        <w:br/>
        <w:t>- Custos industriais de base e aumento do custo dos meios de produção.</w:t>
        <w:br/>
        <w:t>- Constrição final sobre a atividade económica geral e consumo das famílias.</w:t>
      </w:r>
    </w:p>
    <w:p>
      <w:pPr>
        <w:pStyle w:val="Heading1"/>
      </w:pPr>
      <w:r>
        <w:t>3. Estrutura conceptual do modelo</w:t>
      </w:r>
    </w:p>
    <w:p>
      <w:r>
        <w:t>O mecanismo de propagação de choques deste modelo opera através de uma malha sequencial do contágio dos custos base de insumos perante uma constrição central da oferta de energia. A cadeia conceptual funciona sob a premissa de que os aumentos de preços energéticos impulsionam inflação de segunda e terceira ordem.</w:t>
      </w:r>
    </w:p>
    <w:p>
      <w:r>
        <w:t>Exemplo conceptual do fluxo:</w:t>
        <w:br/>
      </w:r>
      <w:r>
        <w:t>Choque energético → Aumento de preços de combustíveis (Gasóleo/Gasolina) → Oneração dos custos logísticos de distribuição → Aumento dos custos industriais gerais → Impacto económico agregado transversal e contração de crescimento.</w:t>
      </w:r>
    </w:p>
    <w:p>
      <w:r>
        <w:t>Reitera-se que o HormuzPT simula primariamente a propagação de choques diretos sobre determinantes parciais da economia real e falha propositadamente no ajuste endógeno de taxas de juros do banco central ou dinâmicas completas do mercado laboral, distinguindo-se claramente da modelação de equilíbrio pleno.</w:t>
      </w:r>
    </w:p>
    <w:p>
      <w:pPr>
        <w:pStyle w:val="Heading1"/>
      </w:pPr>
      <w:r>
        <w:t>4. Estado-base do modelo</w:t>
      </w:r>
    </w:p>
    <w:p>
      <w:r>
        <w:t>O comportamento económico nuclear está alicerçado na importação de um estado do sistema liminar e estabilizado contido em data/model_state_initial.json.</w:t>
      </w:r>
    </w:p>
    <w:p>
      <w:r>
        <w:t>Este ficheiro JSON desempenha a função mandatória de baseline do sistema (t0). Contém as variáveis chave e parâmetros estruturais fundamentais, como alocações do mix energético inicial, a balança comercial e fatores standard da intensidade logística atual. Qualquer cenário extremo (severo, moderado, estremo) utiliza este referencial como âncora paramétrica.</w:t>
      </w:r>
    </w:p>
    <w:p>
      <w:pPr>
        <w:pStyle w:val="Heading1"/>
      </w:pPr>
      <w:r>
        <w:t>5. Estrutura temporal da simulação</w:t>
      </w:r>
    </w:p>
    <w:p>
      <w:r>
        <w:t>O horizonte temporal típico de um choque geoeconómico com constrição petrolífera aguda foi estruturado trimestralmente em semanas: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Fase</w:t>
            </w:r>
          </w:p>
        </w:tc>
      </w:tr>
      <w:tr>
        <w:tc>
          <w:tcPr>
            <w:tcW w:type="dxa" w:w="4320"/>
          </w:tcPr>
          <w:p>
            <w:r>
              <w:t>Semanas 1–4</w:t>
            </w:r>
          </w:p>
        </w:tc>
        <w:tc>
          <w:tcPr>
            <w:tcW w:type="dxa" w:w="4320"/>
          </w:tcPr>
          <w:p>
            <w:r>
              <w:t>Escalada e Contágio logístico inicial</w:t>
            </w:r>
          </w:p>
        </w:tc>
      </w:tr>
      <w:tr>
        <w:tc>
          <w:tcPr>
            <w:tcW w:type="dxa" w:w="4320"/>
          </w:tcPr>
          <w:p>
            <w:r>
              <w:t>Semanas 5–8</w:t>
            </w:r>
          </w:p>
        </w:tc>
        <w:tc>
          <w:tcPr>
            <w:tcW w:type="dxa" w:w="4320"/>
          </w:tcPr>
          <w:p>
            <w:r>
              <w:t>Plateau inflacionista e disrupção máxima</w:t>
            </w:r>
          </w:p>
        </w:tc>
      </w:tr>
      <w:tr>
        <w:tc>
          <w:tcPr>
            <w:tcW w:type="dxa" w:w="4320"/>
          </w:tcPr>
          <w:p>
            <w:r>
              <w:t>Semanas 9–12</w:t>
            </w:r>
          </w:p>
        </w:tc>
        <w:tc>
          <w:tcPr>
            <w:tcW w:type="dxa" w:w="4320"/>
          </w:tcPr>
          <w:p>
            <w:r>
              <w:t>Descompressão e realocação estabilizadora</w:t>
            </w:r>
          </w:p>
        </w:tc>
      </w:tr>
    </w:tbl>
    <w:p>
      <w:r>
        <w:br/>
        <w:t>A lógica atrelada a esta evolução reside na inércia dos mercados e nas lógicas de depleção e libertação das reservas estratégicas nacionais e transumância dos fluxos alternativos que gradualmente estancam a ferida do estrangulamento primário no Estreito de Ormuz.</w:t>
      </w:r>
    </w:p>
    <w:p>
      <w:pPr>
        <w:pStyle w:val="Heading1"/>
      </w:pPr>
      <w:r>
        <w:t>6. Canais de transmissão económica</w:t>
      </w:r>
    </w:p>
    <w:p>
      <w:r>
        <w:t>A diferenciação das vagas é mandatória. O sistema rastreia ativamente:</w:t>
        <w:br/>
        <w:br/>
        <w:t>Efeitos diretos:</w:t>
        <w:br/>
        <w:t>- Reação fulminante à constrição diária de pipelines e petroleiros nas cotações spot do Brent, materializando-se imediatamente na bomba no aumento crasso do preço do combustível líquido.</w:t>
        <w:br/>
        <w:br/>
        <w:t>Efeitos indiretos:</w:t>
        <w:br/>
        <w:t>- Transbordamento secundário na fatura estrutural dos custos logísticos, reajustes e aumentos contratuais forçados com os TSU e readequação dos custos industriais associado a combustões percussoras e matérias plásticas, levando finalmente à compressão das margens ou subida dos preços finais nos supermercados e cadeias retalhistas estruturais (terceira ordem).</w:t>
      </w:r>
    </w:p>
    <w:p>
      <w:pPr>
        <w:pStyle w:val="Heading1"/>
      </w:pPr>
      <w:r>
        <w:t>7. Estrutura de cálculo</w:t>
      </w:r>
    </w:p>
    <w:p>
      <w:r>
        <w:t>Os cálculos encabeçados pela arquitetura React/TypeScript, validados por motores secundários python (recalibrator) têm uma índole rigorosamente determinística. O frontend alimenta os algoritmos de propensão através de estruturas aditivas estritas, utilizando as seguintes ferramentas subjacentes:</w:t>
      </w:r>
    </w:p>
    <w:p>
      <w:r>
        <w:t>- Multiplicadores de tensão para as ordens subjacentes.</w:t>
        <w:br/>
        <w:t>- Coeficientes tabelares indexados nos parâmetros económicos fundamentais do Banco de Portugal.</w:t>
        <w:br/>
        <w:t>- Elasticidades estruturais para medir a perda global projetada no rácio do PIB e contração marginal.</w:t>
        <w:br/>
        <w:t>- Regras de propagação temporal mapeando as fases trimestrais (1 a 12 semanas) aos impactos marginais escalares no longo prazo.</w:t>
      </w:r>
    </w:p>
    <w:p>
      <w:pPr>
        <w:pStyle w:val="Heading1"/>
      </w:pPr>
      <w:r>
        <w:t>8. Papel dos modelos de linguagem</w:t>
      </w:r>
    </w:p>
    <w:p>
      <w:r>
        <w:t>IMPORTANTE: Os Modelos de Linguagem Avançados (Large Language Models, LLMs) injetados na infraestrutura do modelo HormuzPT NÃO avaliam, não computam e não executam cálculos económicos ou monetários da simulação. O seu acesso a pipelines numéricos em inferência direta está bloqueado de design.</w:t>
      </w:r>
    </w:p>
    <w:p>
      <w:r>
        <w:t>Os LLM são ativados em pontos nodais extrínsecos da cascata puramente para fins de RAG e síntese interpretativa. Têm como principal função facultar a interpretação qualitativa, a moldura e síntese textual do dashboard complexo, servindo as respostas human-readable baseadas puramente num snapshot rígido pré-computado dos outputs.</w:t>
      </w:r>
    </w:p>
    <w:p>
      <w:pPr>
        <w:pStyle w:val="Heading1"/>
      </w:pPr>
      <w:r>
        <w:t>9. Estrutura dos resultados</w:t>
      </w:r>
    </w:p>
    <w:p>
      <w:r>
        <w:t>O HormuzPT foi planeado sob uma tripla via de output comunicativo:</w:t>
        <w:br/>
        <w:t>1. Resultados numéricos agregados com visualizações React interativas dinâmicas.</w:t>
        <w:br/>
        <w:t>2. Interpretação qualitativa processada por sistemas peritos ou LLMs assente na severidade declarada.</w:t>
        <w:br/>
        <w:t>3. Explicação textual fluída das anomalias e canais de contração para relatórios governamentais ou C-Level.</w:t>
      </w:r>
    </w:p>
    <w:p>
      <w:pPr>
        <w:pStyle w:val="Heading1"/>
      </w:pPr>
      <w:r>
        <w:t>10. Limitações do modelo</w:t>
      </w:r>
    </w:p>
    <w:p>
      <w:r>
        <w:t>Pela sua idiossincrasia e vocação à agilidade exploratória, assumiram-se as seguintes clivagens macroeconómicas: O sistema abstrai respostas de bancos centrais face a choques de aperto, omite o realinhamento de longo termo de capital de transição verde motivado pelo encarecimento fóssil brutal e carece de ramificações e efeitos de substituição puros na balança transacionável exterior da zona euro. Logo, o teto analítico infere direções em cenários de stress bruto sem capturar a compensação estabilizadora macroprudencial.</w:t>
      </w:r>
    </w:p>
    <w:p>
      <w:pPr>
        <w:pStyle w:val="Heading1"/>
      </w:pPr>
      <w:r>
        <w:t>11. Interpretação correta dos resultados</w:t>
      </w:r>
    </w:p>
    <w:p>
      <w:r>
        <w:t>Sublinha-se peremptoriamente que os outputs devem ser aferidos no espetro qualitativo de vetores de perturbação direcional e stress-test e não lidos rigorosamente como estimativas monetárias decimais factuais da infraestrutura da Autoridade Tributária no final de cada quarter avaliado.</w:t>
      </w:r>
    </w:p>
    <w:p>
      <w:pPr>
        <w:pStyle w:val="Heading1"/>
      </w:pPr>
      <w:r>
        <w:t>12. Estado de desenvolvimento</w:t>
      </w:r>
    </w:p>
    <w:p>
      <w:r>
        <w:t>Este modelo macroeconómico em pipeline assume-se taxativamente num Estado Prévio "Em Desenvolvimento" e sujeito a ruturas ou recalibrações futuras sem backward-compatibility. Toda a arquitetura atual pressupõe uma versão "alpha" de experimentação metódica em constante iteração experimental.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