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32"/>
        </w:rPr>
        <w:t>Vertical Integration and Financial Distress in Portuguese Public Hospitals</w:t>
      </w:r>
    </w:p>
    <w:p>
      <w:pPr>
        <w:jc w:val="center"/>
      </w:pPr>
      <w:r>
        <w:rPr>
          <w:b/>
          <w:sz w:val="28"/>
        </w:rPr>
        <w:t>Methodological Framework and Preliminary Evidence from the 2024 ULS Reform</w:t>
      </w:r>
    </w:p>
    <w:p/>
    <w:p/>
    <w:p>
      <w:pPr>
        <w:jc w:val="center"/>
      </w:pPr>
      <w:r>
        <w:rPr>
          <w:b/>
        </w:rPr>
        <w:t>Daniel Ferreira Polónia</w:t>
      </w:r>
    </w:p>
    <w:p>
      <w:pPr>
        <w:jc w:val="center"/>
      </w:pPr>
      <w:r>
        <w:t>Department of Economics, Management, Industrial Engineering and Tourism (DEGEIT)</w:t>
      </w:r>
    </w:p>
    <w:p>
      <w:pPr>
        <w:jc w:val="center"/>
      </w:pPr>
      <w:r>
        <w:t>University of Aveiro, Portugal</w:t>
      </w:r>
    </w:p>
    <w:p/>
    <w:p>
      <w:pPr>
        <w:jc w:val="center"/>
      </w:pPr>
      <w:r>
        <w:t>Corresponding Author: dpolonia@ua.pt</w:t>
      </w:r>
    </w:p>
    <w:p/>
    <w:p/>
    <w:p>
      <w:r>
        <w:rPr>
          <w:b/>
        </w:rPr>
        <w:t xml:space="preserve">Submitted to: </w:t>
      </w:r>
      <w:r>
        <w:t>Health Economics (Wiley)</w:t>
      </w:r>
    </w:p>
    <w:p>
      <w:r>
        <w:rPr>
          <w:b/>
        </w:rPr>
        <w:t xml:space="preserve">Running Head: </w:t>
      </w:r>
      <w:r>
        <w:t>ULS Reform: Framework and Preliminary Evidence</w:t>
      </w:r>
    </w:p>
    <w:p>
      <w:r>
        <w:rPr>
          <w:b/>
        </w:rPr>
        <w:t xml:space="preserve">Word Count: </w:t>
      </w:r>
      <w:r>
        <w:t>9,847 (excluding tables, figures, and references)</w:t>
      </w:r>
    </w:p>
    <w:p>
      <w:r>
        <w:rPr>
          <w:b/>
        </w:rPr>
        <w:t xml:space="preserve">Keywords: </w:t>
      </w:r>
      <w:r>
        <w:t>Health care reform; Hospital finance; Vertical integration; Difference-in-differences; Synthetic control; Portugal; Financial distress</w:t>
      </w:r>
    </w:p>
    <w:p>
      <w:r>
        <w:rPr>
          <w:b/>
        </w:rPr>
        <w:t xml:space="preserve">JEL Codes: </w:t>
      </w:r>
      <w:r>
        <w:t>I18, H51, G33, L22, C23</w:t>
      </w:r>
    </w:p>
    <w:p>
      <w:r>
        <w:br w:type="page"/>
      </w:r>
    </w:p>
    <w:p>
      <w:pPr>
        <w:pStyle w:val="Heading1"/>
      </w:pPr>
      <w:r>
        <w:t>Abstract</w:t>
      </w:r>
    </w:p>
    <w:p>
      <w:r>
        <w:rPr>
          <w:b/>
        </w:rPr>
        <w:t xml:space="preserve">Objectives: </w:t>
      </w:r>
      <w:r>
        <w:t>To establish a methodological framework for evaluating Portugal's 2024 universal healthcare integration reform and provide preliminary evidence on short-term financial trajectories.</w:t>
      </w:r>
    </w:p>
    <w:p>
      <w:r>
        <w:rPr>
          <w:b/>
        </w:rPr>
        <w:t xml:space="preserve">Methods: </w:t>
      </w:r>
      <w:r>
        <w:t>We compare 31 newly-integrated ULS entities against 8 pre-existing ULS (integrated 1999–2012) using difference-in-differences, synthetic control, and triple-difference designs with quarterly panel data from 2014–2025 (n=1,092 entity-quarters). The 3 IPO oncology centers are excluded from analysis.</w:t>
      </w:r>
    </w:p>
    <w:p>
      <w:r>
        <w:rPr>
          <w:b/>
        </w:rPr>
        <w:t xml:space="preserve">Results: </w:t>
      </w:r>
      <w:r>
        <w:t>The primary DiD estimate is +6.2 percentage points (95% CI: −9.3 to +21.7; p=0.433). These estimates are severely underpowered (25% power; MDE=15pp). Pre-existing ULS exhibited 18.5pp higher baseline distress (p=0.006).</w:t>
      </w:r>
    </w:p>
    <w:p>
      <w:r>
        <w:rPr>
          <w:b/>
        </w:rPr>
        <w:t xml:space="preserve">Conclusions: </w:t>
      </w:r>
      <w:r>
        <w:t>This analysis cannot determine whether Portugal's 2024 reform improved, worsened, or had no effect on hospital financial distress. The paper's primary contribution is methodological.</w:t>
      </w:r>
    </w:p>
    <w:p>
      <w:r>
        <w:br w:type="page"/>
      </w:r>
    </w:p>
    <w:p>
      <w:pPr>
        <w:pStyle w:val="Heading1"/>
      </w:pPr>
      <w:r>
        <w:t>1. Introduction</w:t>
      </w:r>
    </w:p>
    <w:p>
      <w:r>
        <w:t>Healthcare system integration—the consolidation of hospital and primary care services under unified management—has become a central policy lever for attempting to improve efficiency and coordination across healthcare systems internationally. In January 2024, Portugal implemented one of Europe's most comprehensive integration reforms, merging all public hospitals with primary care clusters (Agrupamentos de Centros de Saúde, ACES) into integrated Unidades Locais de Saúde (ULS; Local Health Units).</w:t>
      </w:r>
    </w:p>
    <w:p>
      <w:pPr>
        <w:pStyle w:val="Heading2"/>
      </w:pPr>
      <w:r>
        <w:t>1.1 The Identification Problem</w:t>
      </w:r>
    </w:p>
    <w:p>
      <w:r>
        <w:t>The core identification problem is this: Portugal's comparison group consists not of 'untreated' entities but of entities that experienced integration 12–25 years ago. When we compare newly-integrated entities against pre-existing ULS, we estimate the difference between short-run integration effects (among new adopters) and long-run integration effects (among early adopters).</w:t>
      </w:r>
    </w:p>
    <w:p>
      <w:pPr>
        <w:pStyle w:val="Heading2"/>
      </w:pPr>
      <w:r>
        <w:t>1.2 Contribution and Scope</w:t>
      </w:r>
    </w:p>
    <w:p>
      <w:r>
        <w:t>This paper makes four contributions:</w:t>
      </w:r>
    </w:p>
    <w:p>
      <w:pPr>
        <w:pStyle w:val="ListNumber"/>
      </w:pPr>
      <w:r>
        <w:rPr>
          <w:b/>
        </w:rPr>
        <w:t xml:space="preserve">Methodological framework: </w:t>
      </w:r>
      <w:r>
        <w:t>Baseline methods for ongoing reform evaluation</w:t>
      </w:r>
    </w:p>
    <w:p>
      <w:pPr>
        <w:pStyle w:val="ListNumber"/>
      </w:pPr>
      <w:r>
        <w:rPr>
          <w:b/>
        </w:rPr>
        <w:t xml:space="preserve">Preliminary descriptive evidence: </w:t>
      </w:r>
      <w:r>
        <w:t>Initial point estimates establishing baseline magnitudes</w:t>
      </w:r>
    </w:p>
    <w:p>
      <w:pPr>
        <w:pStyle w:val="ListNumber"/>
      </w:pPr>
      <w:r>
        <w:rPr>
          <w:b/>
        </w:rPr>
        <w:t xml:space="preserve">Selection pattern documentation: </w:t>
      </w:r>
      <w:r>
        <w:t>Quantifying selection pattern in early ULS adoption</w:t>
      </w:r>
    </w:p>
    <w:p>
      <w:pPr>
        <w:pStyle w:val="ListNumber"/>
      </w:pPr>
      <w:r>
        <w:rPr>
          <w:b/>
        </w:rPr>
        <w:t xml:space="preserve">Heterogeneity patterns: </w:t>
      </w:r>
      <w:r>
        <w:t>Entity characteristics associated with larger effects</w:t>
      </w:r>
    </w:p>
    <w:p>
      <w:r>
        <w:br w:type="page"/>
      </w:r>
    </w:p>
    <w:p>
      <w:pPr>
        <w:pStyle w:val="Heading1"/>
      </w:pPr>
      <w:r>
        <w:t>3. Institutional Context</w:t>
      </w:r>
    </w:p>
    <w:p>
      <w:pPr>
        <w:pStyle w:val="Heading2"/>
      </w:pPr>
      <w:r>
        <w:t>3.1 Current SNS Structure (2025)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Entity Type</w:t>
            </w:r>
          </w:p>
        </w:tc>
        <w:tc>
          <w:tcPr>
            <w:tcW w:type="dxa" w:w="2160"/>
          </w:tcPr>
          <w:p>
            <w:r>
              <w:t>Description</w:t>
            </w:r>
          </w:p>
        </w:tc>
        <w:tc>
          <w:tcPr>
            <w:tcW w:type="dxa" w:w="2160"/>
          </w:tcPr>
          <w:p>
            <w:r>
              <w:t>Count</w:t>
            </w:r>
          </w:p>
        </w:tc>
        <w:tc>
          <w:tcPr>
            <w:tcW w:type="dxa" w:w="2160"/>
          </w:tcPr>
          <w:p>
            <w:r>
              <w:t>Status</w:t>
            </w:r>
          </w:p>
        </w:tc>
      </w:tr>
      <w:tr>
        <w:tc>
          <w:tcPr>
            <w:tcW w:type="dxa" w:w="2160"/>
          </w:tcPr>
          <w:p>
            <w:r>
              <w:t>ULS (total)</w:t>
            </w:r>
          </w:p>
        </w:tc>
        <w:tc>
          <w:tcPr>
            <w:tcW w:type="dxa" w:w="2160"/>
          </w:tcPr>
          <w:p>
            <w:r>
              <w:t>Integrated care units</w:t>
            </w:r>
          </w:p>
        </w:tc>
        <w:tc>
          <w:tcPr>
            <w:tcW w:type="dxa" w:w="2160"/>
          </w:tcPr>
          <w:p>
            <w:r>
              <w:t>39</w:t>
            </w:r>
          </w:p>
        </w:tc>
        <w:tc>
          <w:tcPr>
            <w:tcW w:type="dxa" w:w="2160"/>
          </w:tcPr>
          <w:p>
            <w:r>
              <w:t>Integrated</w:t>
            </w:r>
          </w:p>
        </w:tc>
      </w:tr>
      <w:tr>
        <w:tc>
          <w:tcPr>
            <w:tcW w:type="dxa" w:w="2160"/>
          </w:tcPr>
          <w:p>
            <w:r>
              <w:t>├─ Pre-existing</w:t>
            </w:r>
          </w:p>
        </w:tc>
        <w:tc>
          <w:tcPr>
            <w:tcW w:type="dxa" w:w="2160"/>
          </w:tcPr>
          <w:p>
            <w:r>
              <w:t>Created 1999–2012</w:t>
            </w:r>
          </w:p>
        </w:tc>
        <w:tc>
          <w:tcPr>
            <w:tcW w:type="dxa" w:w="2160"/>
          </w:tcPr>
          <w:p>
            <w:r>
              <w:t>8</w:t>
            </w:r>
          </w:p>
        </w:tc>
        <w:tc>
          <w:tcPr>
            <w:tcW w:type="dxa" w:w="2160"/>
          </w:tcPr>
          <w:p>
            <w:r>
              <w:t>Long-term</w:t>
            </w:r>
          </w:p>
        </w:tc>
      </w:tr>
      <w:tr>
        <w:tc>
          <w:tcPr>
            <w:tcW w:type="dxa" w:w="2160"/>
          </w:tcPr>
          <w:p>
            <w:r>
              <w:t>└─ New (2024)</w:t>
            </w:r>
          </w:p>
        </w:tc>
        <w:tc>
          <w:tcPr>
            <w:tcW w:type="dxa" w:w="2160"/>
          </w:tcPr>
          <w:p>
            <w:r>
              <w:t>Created January 2024</w:t>
            </w:r>
          </w:p>
        </w:tc>
        <w:tc>
          <w:tcPr>
            <w:tcW w:type="dxa" w:w="2160"/>
          </w:tcPr>
          <w:p>
            <w:r>
              <w:t>31</w:t>
            </w:r>
          </w:p>
        </w:tc>
        <w:tc>
          <w:tcPr>
            <w:tcW w:type="dxa" w:w="2160"/>
          </w:tcPr>
          <w:p>
            <w:r>
              <w:t>Newly integrated</w:t>
            </w:r>
          </w:p>
        </w:tc>
      </w:tr>
      <w:tr>
        <w:tc>
          <w:tcPr>
            <w:tcW w:type="dxa" w:w="2160"/>
          </w:tcPr>
          <w:p>
            <w:r>
              <w:t>IPO</w:t>
            </w:r>
          </w:p>
        </w:tc>
        <w:tc>
          <w:tcPr>
            <w:tcW w:type="dxa" w:w="2160"/>
          </w:tcPr>
          <w:p>
            <w:r>
              <w:t>Oncology centers</w:t>
            </w:r>
          </w:p>
        </w:tc>
        <w:tc>
          <w:tcPr>
            <w:tcW w:type="dxa" w:w="2160"/>
          </w:tcPr>
          <w:p>
            <w:r>
              <w:t>3</w:t>
            </w:r>
          </w:p>
        </w:tc>
        <w:tc>
          <w:tcPr>
            <w:tcW w:type="dxa" w:w="2160"/>
          </w:tcPr>
          <w:p>
            <w:r>
              <w:t>Excluded</w:t>
            </w:r>
          </w:p>
        </w:tc>
      </w:tr>
    </w:tbl>
    <w:p/>
    <w:p>
      <w:r>
        <w:t>The three Portuguese Oncology Institutes (IPO Lisboa, IPO Porto, IPO Coimbra) were excluded from mandatory ULS integration due to their specialized tertiary care mission.</w:t>
      </w:r>
    </w:p>
    <w:p>
      <w:r>
        <w:br w:type="page"/>
      </w:r>
    </w:p>
    <w:p>
      <w:pPr>
        <w:pStyle w:val="Heading1"/>
      </w:pPr>
      <w:r>
        <w:t>6. Results</w:t>
      </w:r>
    </w:p>
    <w:p>
      <w:pPr>
        <w:pStyle w:val="Heading2"/>
      </w:pPr>
      <w:r>
        <w:t>6.1 Main DiD Estimates</w:t>
      </w:r>
    </w:p>
    <w:tbl>
      <w:tblPr>
        <w:tblStyle w:val="TableGrid"/>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Estimate</w:t>
            </w:r>
          </w:p>
        </w:tc>
        <w:tc>
          <w:tcPr>
            <w:tcW w:type="dxa" w:w="2880"/>
          </w:tcPr>
          <w:p>
            <w:r>
              <w:t>P-value</w:t>
            </w:r>
          </w:p>
        </w:tc>
      </w:tr>
      <w:tr>
        <w:tc>
          <w:tcPr>
            <w:tcW w:type="dxa" w:w="2880"/>
          </w:tcPr>
          <w:p>
            <w:r>
              <w:t>Baseline Difference (β₁)</w:t>
            </w:r>
          </w:p>
        </w:tc>
        <w:tc>
          <w:tcPr>
            <w:tcW w:type="dxa" w:w="2880"/>
          </w:tcPr>
          <w:p>
            <w:r>
              <w:t>−0.185</w:t>
            </w:r>
          </w:p>
        </w:tc>
        <w:tc>
          <w:tcPr>
            <w:tcW w:type="dxa" w:w="2880"/>
          </w:tcPr>
          <w:p>
            <w:r>
              <w:t>0.006***</w:t>
            </w:r>
          </w:p>
        </w:tc>
      </w:tr>
      <w:tr>
        <w:tc>
          <w:tcPr>
            <w:tcW w:type="dxa" w:w="2880"/>
          </w:tcPr>
          <w:p>
            <w:r>
              <w:t>DiD Effect (β₃)</w:t>
            </w:r>
          </w:p>
        </w:tc>
        <w:tc>
          <w:tcPr>
            <w:tcW w:type="dxa" w:w="2880"/>
          </w:tcPr>
          <w:p>
            <w:r>
              <w:t>+0.062</w:t>
            </w:r>
          </w:p>
        </w:tc>
        <w:tc>
          <w:tcPr>
            <w:tcW w:type="dxa" w:w="2880"/>
          </w:tcPr>
          <w:p>
            <w:r>
              <w:t>0.433</w:t>
            </w:r>
          </w:p>
        </w:tc>
      </w:tr>
      <w:tr>
        <w:tc>
          <w:tcPr>
            <w:tcW w:type="dxa" w:w="2880"/>
          </w:tcPr>
          <w:p>
            <w:r>
              <w:t>95% CI for β₃</w:t>
            </w:r>
          </w:p>
        </w:tc>
        <w:tc>
          <w:tcPr>
            <w:tcW w:type="dxa" w:w="2880"/>
          </w:tcPr>
          <w:p>
            <w:r>
              <w:t>[−0.093, +0.217]</w:t>
            </w:r>
          </w:p>
        </w:tc>
        <w:tc>
          <w:tcPr>
            <w:tcW w:type="dxa" w:w="2880"/>
          </w:tcPr>
          <w:p>
            <w:r>
              <w:t>—</w:t>
            </w:r>
          </w:p>
        </w:tc>
      </w:tr>
      <w:tr>
        <w:tc>
          <w:tcPr>
            <w:tcW w:type="dxa" w:w="2880"/>
          </w:tcPr>
          <w:p>
            <w:r>
              <w:t>Statistical Power</w:t>
            </w:r>
          </w:p>
        </w:tc>
        <w:tc>
          <w:tcPr>
            <w:tcW w:type="dxa" w:w="2880"/>
          </w:tcPr>
          <w:p>
            <w:r>
              <w:t>25%</w:t>
            </w:r>
          </w:p>
        </w:tc>
        <w:tc>
          <w:tcPr>
            <w:tcW w:type="dxa" w:w="2880"/>
          </w:tcPr>
          <w:p>
            <w:r>
              <w:t>—</w:t>
            </w:r>
          </w:p>
        </w:tc>
      </w:tr>
    </w:tbl>
    <w:p/>
    <w:p>
      <w:r>
        <w:rPr>
          <w:b/>
        </w:rPr>
        <w:t>Key Findings:</w:t>
      </w:r>
    </w:p>
    <w:p>
      <w:pPr>
        <w:pStyle w:val="ListNumber"/>
      </w:pPr>
      <w:r>
        <w:t>1. Baseline Difference (β₁ = −0.185, p=0.006): New ULS had 18.5pp lower baseline distress than pre-existing ULS.</w:t>
      </w:r>
    </w:p>
    <w:p>
      <w:pPr>
        <w:pStyle w:val="ListNumber"/>
      </w:pPr>
      <w:r>
        <w:t>2. DiD Effect (β₃ = +0.062, p=0.433): Not statistically significant. The null finding is uninformative due to severe power limitations.</w:t>
      </w:r>
    </w:p>
    <w:p>
      <w:r>
        <w:br w:type="page"/>
      </w:r>
    </w:p>
    <w:p>
      <w:pPr>
        <w:pStyle w:val="Heading1"/>
      </w:pPr>
      <w:r>
        <w:t>8. Conclusion</w:t>
      </w:r>
    </w:p>
    <w:p>
      <w:r>
        <w:t>This study provides the first methodological framework and preliminary evidence on Portugal's 2024 universal healthcare integration reform. The main DiD estimate (+6.2pp, 95% CI: −9.3 to +21.7) is statistically insignificant and, critically, uninformative due to severe power limitations.</w:t>
      </w:r>
    </w:p>
    <w:p>
      <w:r>
        <w:t>The paper's primary contribution is not causal identification—which remains impossible with current data—but establishing evaluation infrastructure and documenting an important selection pattern in early ULS adoption. Continued monitoring with pre-registered re-analysis when 36+ months of post-reform data accumulate is essential.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