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-2-within-subject-paired-comparison"/>
    <w:p>
      <w:pPr>
        <w:pStyle w:val="Heading2"/>
      </w:pPr>
      <w:r>
        <w:t xml:space="preserve">Table 2: Within-Subject Paired Comparison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p>
            <w:pPr>
              <w:pStyle w:val="Compact"/>
              <w:jc w:val="left"/>
            </w:pPr>
            <w:r>
              <w:t xml:space="preserve">Wilcoxon Z</w:t>
            </w:r>
          </w:p>
        </w:tc>
        <w:tc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p>
            <w:pPr>
              <w:pStyle w:val="Compact"/>
              <w:jc w:val="left"/>
            </w:pPr>
            <w:r>
              <w:t xml:space="preserve">Favours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V1_vs_V2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-0.203</w:t>
            </w:r>
          </w:p>
        </w:tc>
        <w:tc>
          <w:p>
            <w:pPr>
              <w:pStyle w:val="Compact"/>
              <w:jc w:val="left"/>
            </w:pPr>
            <w:r>
              <w:t xml:space="preserve">-3.007</w:t>
            </w:r>
          </w:p>
        </w:tc>
        <w:tc>
          <w:p>
            <w:pPr>
              <w:pStyle w:val="Compact"/>
              <w:jc w:val="left"/>
            </w:pPr>
            <w:r>
              <w:t xml:space="preserve">0.0026*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V1_vs_V3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-0.060</w:t>
            </w:r>
          </w:p>
        </w:tc>
        <w:tc>
          <w:p>
            <w:pPr>
              <w:pStyle w:val="Compact"/>
              <w:jc w:val="left"/>
            </w:pPr>
            <w:r>
              <w:t xml:space="preserve">-2.334</w:t>
            </w:r>
          </w:p>
        </w:tc>
        <w:tc>
          <w:p>
            <w:pPr>
              <w:pStyle w:val="Compact"/>
              <w:jc w:val="left"/>
            </w:pPr>
            <w:r>
              <w:t xml:space="preserve">0.0196*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V2_vs_V4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p>
            <w:pPr>
              <w:pStyle w:val="Compact"/>
              <w:jc w:val="left"/>
            </w:pPr>
            <w:r>
              <w:t xml:space="preserve">-0.192</w:t>
            </w:r>
          </w:p>
        </w:tc>
        <w:tc>
          <w:p>
            <w:pPr>
              <w:pStyle w:val="Compact"/>
              <w:jc w:val="left"/>
            </w:pPr>
            <w:r>
              <w:t xml:space="preserve">0.8476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V3_vs_V5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p>
            <w:pPr>
              <w:pStyle w:val="Compact"/>
              <w:jc w:val="left"/>
            </w:pPr>
            <w:r>
              <w:t xml:space="preserve">-3.657</w:t>
            </w:r>
          </w:p>
        </w:tc>
        <w:tc>
          <w:p>
            <w:pPr>
              <w:pStyle w:val="Compact"/>
              <w:jc w:val="left"/>
            </w:pPr>
            <w:r>
              <w:t xml:space="preserve">0.0003*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V4_vs_V5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0.101</w:t>
            </w:r>
          </w:p>
        </w:tc>
        <w:tc>
          <w:p>
            <w:pPr>
              <w:pStyle w:val="Compact"/>
              <w:jc w:val="left"/>
            </w:pPr>
            <w:r>
              <w:t xml:space="preserve">-2.343</w:t>
            </w:r>
          </w:p>
        </w:tc>
        <w:tc>
          <w:p>
            <w:pPr>
              <w:pStyle w:val="Compact"/>
              <w:jc w:val="left"/>
            </w:pPr>
            <w:r>
              <w:t xml:space="preserve">0.0191*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{Within-subject paired comparison (Wilcoxon signed-rank)}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tab:within_subject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Comparison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Mean Diff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Wilcoxon Z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Favours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V1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-0.203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-3.007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0.0026*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V1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-0.060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-2.334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0.0196*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-0.192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0.8476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0.123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-3.657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0.0003*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V4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0.101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-2.343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0.0191*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V4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2026-03-20T10:52:41Z</dcterms:created>
  <dcterms:modified xsi:type="dcterms:W3CDTF">2026-03-20T10:52:41Z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