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bc647b12c89c03873bcc9282825f6159123674"/>
    <w:p>
      <w:pPr>
        <w:pStyle w:val="Heading2"/>
      </w:pPr>
      <w:r>
        <w:t xml:space="preserve">Table 3: Latent Dimension Surfacing Heatmap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{Latent dimension surfacing rates by version (</w:t>
      </w:r>
      <w:r>
        <w:rPr>
          <w:rStyle w:val="FunctionTok"/>
        </w:rPr>
        <w:t xml:space="preserve">\\</w:t>
      </w:r>
      <w:r>
        <w:rPr>
          <w:rStyle w:val="CommentTok"/>
        </w:rPr>
        <w:t xml:space="preserve">%)}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tab:dimension_heatmap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Autonomy Vs Dependence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Body Image Autonomy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Continuity Of Care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Digital Information Seeki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Dignity Respect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Identity Tensions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Informal Care Networks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Intergenerational Pattern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Partner Role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Power Dynamics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Structural Barriers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Trust Distrust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2026-03-20T10:52:41Z</dcterms:created>
  <dcterms:modified xsi:type="dcterms:W3CDTF">2026-03-20T10:52:41Z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