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4-inter-rater-reliability"/>
    <w:p>
      <w:pPr>
        <w:pStyle w:val="Heading2"/>
      </w:pPr>
      <w:r>
        <w:t xml:space="preserve">Table 4: Inter-Rater Reliability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ICC(2,1)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Krippendorff alpha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Emotional Depth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Surfacing</w:t>
            </w:r>
          </w:p>
        </w:tc>
        <w:tc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Quality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Grounding</w:t>
            </w:r>
          </w:p>
        </w:tc>
        <w:tc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Richness</w:t>
            </w:r>
          </w:p>
        </w:tc>
        <w:tc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{Inter-rater reliability across quality dimensions}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tab:inter_rater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Dimension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ICC(2,1)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Krippendorff alpha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Emotional Depth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0.901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0.876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Latent Surfacing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Narrative Quality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Clinical Grounding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0.849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Composite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0.903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excellent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N/A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2026-03-20T10:52:42Z</dcterms:created>
  <dcterms:modified xsi:type="dcterms:W3CDTF">2026-03-20T10:52:42Z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