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ublication-ready-tables"/>
    <w:p>
      <w:pPr>
        <w:pStyle w:val="Heading1"/>
      </w:pPr>
      <w:r>
        <w:t xml:space="preserve">Publication-Ready Tables</w:t>
      </w:r>
    </w:p>
    <w:p>
      <w:pPr>
        <w:pStyle w:val="FirstParagraph"/>
      </w:pPr>
      <w:r>
        <w:t xml:space="preserve">Generated: 20260320_095725</w:t>
      </w:r>
    </w:p>
    <w:bookmarkStart w:id="20" w:name="table-1-version-quality-comparison"/>
    <w:p>
      <w:pPr>
        <w:pStyle w:val="Heading2"/>
      </w:pPr>
      <w:r>
        <w:t xml:space="preserve">Table 1: Version Quality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{Quality scores by questionnaire version}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tab:quality_by_version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Richness M(SD)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Surfacing Rate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2.32 (1.96)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(1.83, 2.82)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2.81 (1.83)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(2.35, 3.27)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76.1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2.64 (1.97)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(2.14, 3.14)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69.8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(2.54, 3.44)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2.96 (1.80)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(2.50, 3.41)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table-2-within-subject-paired-comparison"/>
    <w:p>
      <w:pPr>
        <w:pStyle w:val="Heading2"/>
      </w:pPr>
      <w:r>
        <w:t xml:space="preserve">Table 2: Within-Subject Paired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V1_vs_V2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V1_vs_V3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V2_vs_V4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V3_vs_V5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V4_vs_V5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{Within-subject paired comparison (Wilcoxon signed-rank)}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tab:within_subject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Diff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Wilcoxon 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Favours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-3.007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0.0026*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-0.060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-2.334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0.0196*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0.123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-3.657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0.0003*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vs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0.101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-2.343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0.0191*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cbc647b12c89c03873bcc9282825f6159123674"/>
    <w:p>
      <w:pPr>
        <w:pStyle w:val="Heading2"/>
      </w:pPr>
      <w:r>
        <w:t xml:space="preserve">Table 3: Latent Dimension Surfacing Heatmap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{Latent dimension surfacing rates by version (</w:t>
      </w:r>
      <w:r>
        <w:rPr>
          <w:rStyle w:val="FunctionTok"/>
        </w:rPr>
        <w:t xml:space="preserve">\\</w:t>
      </w:r>
      <w:r>
        <w:rPr>
          <w:rStyle w:val="CommentTok"/>
        </w:rPr>
        <w:t xml:space="preserve">%)}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tab:dimension_heatmap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Autonomy Vs Dependence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Body Image Autonomy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Continuity Of Care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Digital Information Seeki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Dignity Respect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Identity Tensions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Informal Care Networks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76.7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Intergenerational Pattern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Partner Role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Power Dynamics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75.0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Structural Barriers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78.3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81.7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73.3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Trust Distrust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table-4-inter-rater-reliability"/>
    <w:p>
      <w:pPr>
        <w:pStyle w:val="Heading2"/>
      </w:pPr>
      <w:r>
        <w:t xml:space="preserve">Table 4: Inter-Rater Reliability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{Inter-rater reliability across quality dimensions}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tab:inter_rater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ICC(2,1)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Krippendorff alpha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0.849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Composite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N/A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3799e5a71fb7ec9c4087f37d1011894fc287b2c"/>
    <w:p>
      <w:pPr>
        <w:pStyle w:val="Heading2"/>
      </w:pPr>
      <w:r>
        <w:t xml:space="preserve">Table 5: Refinement Impact – Original V4 vs Refined V4_R1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Original V4</w:t>
            </w:r>
          </w:p>
        </w:tc>
        <w:tc>
          <w:p>
            <w:pPr>
              <w:pStyle w:val="Compact"/>
              <w:jc w:val="left"/>
            </w:pPr>
            <w:r>
              <w:t xml:space="preserve">Refined V4_R1</w:t>
            </w:r>
          </w:p>
        </w:tc>
        <w:tc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p>
            <w:pPr>
              <w:pStyle w:val="Compact"/>
              <w:jc w:val="left"/>
            </w:pPr>
            <w:r>
              <w:t xml:space="preserve">+1.24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+1.01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p>
            <w:pPr>
              <w:pStyle w:val="Compact"/>
              <w:jc w:val="left"/>
            </w:pPr>
            <w:r>
              <w:t xml:space="preserve">+1.23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+1.13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p>
            <w:pPr>
              <w:pStyle w:val="Compact"/>
              <w:jc w:val="left"/>
            </w:pPr>
            <w:r>
              <w:t xml:space="preserve">+0.91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+1.10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Surfacing Rate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  <w:tc>
          <w:p>
            <w:pPr>
              <w:pStyle w:val="Compact"/>
              <w:jc w:val="left"/>
            </w:pPr>
            <w:r>
              <w:t xml:space="preserve">98.9%</w:t>
            </w:r>
          </w:p>
        </w:tc>
        <w:tc>
          <w:p>
            <w:pPr>
              <w:pStyle w:val="Compact"/>
              <w:jc w:val="left"/>
            </w:pPr>
            <w:r>
              <w:t xml:space="preserve">+18.2pp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{Refinement impact: Original V4 vs Refined V4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_R1}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tab:refinement_impact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Original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Refined V4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R1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Delta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3.87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+1.23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4.20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2.58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+0.91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**Composite Richness**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2.99 (1.78)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+1.10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**Surfacing Rate**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80.7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98.9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+18.2pp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table-6-robustness-testing-results"/>
    <w:p>
      <w:pPr>
        <w:pStyle w:val="Heading2"/>
      </w:pPr>
      <w:r>
        <w:t xml:space="preserve">Table 6: Robustness Testing 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Profile Type</w:t>
            </w:r>
          </w:p>
        </w:tc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Mean Richness</w:t>
            </w:r>
          </w:p>
        </w:tc>
        <w:tc>
          <w:p>
            <w:pPr>
              <w:pStyle w:val="Compact"/>
              <w:jc w:val="left"/>
            </w:pPr>
            <w:r>
              <w:t xml:space="preserve">Pop. Mean</w:t>
            </w:r>
          </w:p>
        </w:tc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low_health_literacy</w:t>
            </w:r>
          </w:p>
        </w:tc>
        <w:tc>
          <w:p>
            <w:pPr>
              <w:pStyle w:val="Compact"/>
              <w:jc w:val="left"/>
            </w:pPr>
            <w:r>
              <w:t xml:space="preserve">Destiny Marlowe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language_barrier</w:t>
            </w:r>
          </w:p>
        </w:tc>
        <w:tc>
          <w:p>
            <w:pPr>
              <w:pStyle w:val="Compact"/>
              <w:jc w:val="left"/>
            </w:pPr>
            <w:r>
              <w:t xml:space="preserve">Mei-Ling Vasquez</w:t>
            </w:r>
          </w:p>
        </w:tc>
        <w:tc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hostile_distrustful</w:t>
            </w:r>
          </w:p>
        </w:tc>
        <w:tc>
          <w:p>
            <w:pPr>
              <w:pStyle w:val="Compact"/>
              <w:jc w:val="left"/>
            </w:pPr>
            <w:r>
              <w:t xml:space="preserve">Renee Thibodeau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rural_isolated</w:t>
            </w:r>
          </w:p>
        </w:tc>
        <w:tc>
          <w:p>
            <w:pPr>
              <w:pStyle w:val="Compact"/>
              <w:jc w:val="left"/>
            </w:pPr>
            <w:r>
              <w:t xml:space="preserve">Darlene Hutchins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early_pregnancy_ambivalent</w:t>
            </w:r>
          </w:p>
        </w:tc>
        <w:tc>
          <w:p>
            <w:pPr>
              <w:pStyle w:val="Compact"/>
              <w:jc w:val="left"/>
            </w:pPr>
            <w:r>
              <w:t xml:space="preserve">Danielle Okafor</w:t>
            </w:r>
          </w:p>
        </w:tc>
        <w:tc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{Adversarial robustness testing across vulnerable population profiles}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tab:robustness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Profile 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Pop. Mean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Passed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low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health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literacy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Destiny Marlowe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language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barrier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Mei-Ling Vasquez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hostile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distrustful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Renee Thibodeau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3.51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rural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isolated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Darlene Hutchins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early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pregnancy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ambivalent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Danielle Okafor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**Overall**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5/5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table-7-saturation-metrics"/>
    <w:p>
      <w:pPr>
        <w:pStyle w:val="Heading2"/>
      </w:pPr>
      <w:r>
        <w:t xml:space="preserve">Table 7: Saturation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(Combined)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(Original)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3874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Mean Yield</w:t>
            </w:r>
          </w:p>
        </w:tc>
        <w:tc>
          <w:p>
            <w:pPr>
              <w:pStyle w:val="Compact"/>
              <w:jc w:val="left"/>
            </w:pPr>
            <w:r>
              <w:t xml:space="preserve">35.13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Mean Yield</w:t>
            </w:r>
          </w:p>
        </w:tc>
        <w:tc>
          <w:p>
            <w:pPr>
              <w:pStyle w:val="Compact"/>
              <w:jc w:val="left"/>
            </w:pPr>
            <w:r>
              <w:t xml:space="preserve">36.34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Mann-Whitney U</w:t>
            </w:r>
          </w:p>
        </w:tc>
        <w:tc>
          <w:p>
            <w:pPr>
              <w:pStyle w:val="Compact"/>
              <w:jc w:val="left"/>
            </w:pPr>
            <w:r>
              <w:t xml:space="preserve">1427.0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0.663252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{Thematic saturation metrics}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tab:saturation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Value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Total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Total Unique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3925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Pre-Refinement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2108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Post-Refinement New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1817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Novelty Rate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46.3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(Combined)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(Original)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3874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35.13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36.34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Mann-Whitney 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1427.0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p-value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0.663252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Significant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False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table-8-pairwise-effect-sizes"/>
    <w:p>
      <w:pPr>
        <w:pStyle w:val="Heading2"/>
      </w:pPr>
      <w:r>
        <w:t xml:space="preserve">Table 8: Pairwise Effect Sizes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{Pairwise effect sizes (Cohen's d) between questionnaire versions}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tab:pairwise_effects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Cohen's 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vs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-0.256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-0.355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0.089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-0.100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-0.081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2026-03-20T10:52:46Z</dcterms:created>
  <dcterms:modified xsi:type="dcterms:W3CDTF">2026-03-20T10:52:46Z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