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nstrument-documentation"/>
    <w:p>
      <w:pPr>
        <w:pStyle w:val="Heading1"/>
      </w:pPr>
      <w:r>
        <w:t xml:space="preserve">Instrument Documentation</w:t>
      </w:r>
    </w:p>
    <w:p>
      <w:pPr>
        <w:pStyle w:val="FirstParagraph"/>
      </w:pPr>
      <w:r>
        <w:t xml:space="preserve">Generated: 20260320_091839</w:t>
      </w:r>
    </w:p>
    <w:bookmarkStart w:id="20" w:name="design-methodology"/>
    <w:p>
      <w:pPr>
        <w:pStyle w:val="Heading2"/>
      </w:pPr>
      <w:r>
        <w:t xml:space="preserve">1. Design Methodology</w:t>
      </w:r>
    </w:p>
    <w:p>
      <w:pPr>
        <w:pStyle w:val="FirstParagraph"/>
      </w:pPr>
      <w:r>
        <w:t xml:space="preserve">The final instrument was selected from 5 questionnaire versions using a BIBD design.</w:t>
      </w:r>
      <w:r>
        <w:t xml:space="preserve"> </w:t>
      </w:r>
      <w:r>
        <w:t xml:space="preserve">Each version used a different interview strategy. 300 sessions were conducted with 150</w:t>
      </w:r>
      <w:r>
        <w:t xml:space="preserve"> </w:t>
      </w:r>
      <w:r>
        <w:t xml:space="preserve">composite synthetic personas grounded in Synthea EHR data.</w:t>
      </w:r>
    </w:p>
    <w:bookmarkEnd w:id="20"/>
    <w:bookmarkStart w:id="21" w:name="version-comparison"/>
    <w:p>
      <w:pPr>
        <w:pStyle w:val="Heading2"/>
      </w:pPr>
      <w:r>
        <w:t xml:space="preserve">2. Version Comparison</w:t>
      </w:r>
    </w:p>
    <w:p>
      <w:pPr>
        <w:pStyle w:val="FirstParagraph"/>
      </w:pPr>
      <w:r>
        <w:rPr>
          <w:bCs/>
          <w:b/>
        </w:rPr>
        <w:t xml:space="preserve">Winner: V4</w:t>
      </w:r>
      <w:r>
        <w:t xml:space="preserve"> </w:t>
      </w:r>
      <w:r>
        <w:t xml:space="preserve">(strategy: Expectation-Perception Gap)</w:t>
      </w:r>
      <w:r>
        <w:t xml:space="preserve"> </w:t>
      </w:r>
      <w:r>
        <w:t xml:space="preserve">- Composite score: 2.706</w:t>
      </w:r>
      <w:r>
        <w:t xml:space="preserve"> </w:t>
      </w:r>
      <w:r>
        <w:t xml:space="preserve">- Runner-up: V5 (gap: 5.2%)</w:t>
      </w:r>
      <w:r>
        <w:t xml:space="preserve"> </w:t>
      </w:r>
      <w:r>
        <w:t xml:space="preserve">- Statistical significance: Kruskal-Wallis p=0.001</w:t>
      </w:r>
    </w:p>
    <w:bookmarkEnd w:id="21"/>
    <w:bookmarkStart w:id="22" w:name="refinement"/>
    <w:p>
      <w:pPr>
        <w:pStyle w:val="Heading2"/>
      </w:pPr>
      <w:r>
        <w:t xml:space="preserve">3. Refinement</w:t>
      </w:r>
    </w:p>
    <w:p>
      <w:pPr>
        <w:numPr>
          <w:ilvl w:val="0"/>
          <w:numId w:val="1001"/>
        </w:numPr>
        <w:pStyle w:val="Compact"/>
      </w:pPr>
      <w:r>
        <w:t xml:space="preserve">Blind spots identified: 7</w:t>
      </w:r>
    </w:p>
    <w:p>
      <w:pPr>
        <w:numPr>
          <w:ilvl w:val="0"/>
          <w:numId w:val="1001"/>
        </w:numPr>
        <w:pStyle w:val="Compact"/>
      </w:pPr>
      <w:r>
        <w:t xml:space="preserve">Changes applied: 38</w:t>
      </w:r>
    </w:p>
    <w:p>
      <w:pPr>
        <w:numPr>
          <w:ilvl w:val="0"/>
          <w:numId w:val="1001"/>
        </w:numPr>
        <w:pStyle w:val="Compact"/>
      </w:pPr>
      <w:r>
        <w:t xml:space="preserve">Richness improvement: +36.9%</w:t>
      </w:r>
    </w:p>
    <w:p>
      <w:pPr>
        <w:numPr>
          <w:ilvl w:val="0"/>
          <w:numId w:val="1001"/>
        </w:numPr>
        <w:pStyle w:val="Compact"/>
      </w:pPr>
      <w:r>
        <w:t xml:space="preserve">Surfacing rate improvement: +22.5%</w:t>
      </w:r>
    </w:p>
    <w:p>
      <w:pPr>
        <w:numPr>
          <w:ilvl w:val="0"/>
          <w:numId w:val="1001"/>
        </w:numPr>
        <w:pStyle w:val="Compact"/>
      </w:pPr>
      <w:r>
        <w:t xml:space="preserve">Selection: Refined V4_R1 shows significant improvement</w:t>
      </w:r>
    </w:p>
    <w:bookmarkEnd w:id="22"/>
    <w:bookmarkStart w:id="23" w:name="saturation-evidence"/>
    <w:p>
      <w:pPr>
        <w:pStyle w:val="Heading2"/>
      </w:pPr>
      <w:r>
        <w:t xml:space="preserve">4. Saturation Evidence</w:t>
      </w:r>
    </w:p>
    <w:p>
      <w:pPr>
        <w:pStyle w:val="FirstParagraph"/>
      </w:pPr>
      <w:r>
        <w:t xml:space="preserve">Thematic saturation was not reached within the corpus.</w:t>
      </w:r>
      <w:r>
        <w:t xml:space="preserve"> </w:t>
      </w:r>
      <w:r>
        <w:t xml:space="preserve">Total unique themes: 3925</w:t>
      </w:r>
      <w:r>
        <w:t xml:space="preserve"> </w:t>
      </w:r>
      <w:r>
        <w:t xml:space="preserve">Post-refinement new themes: 1817</w:t>
      </w:r>
    </w:p>
    <w:bookmarkEnd w:id="23"/>
    <w:bookmarkStart w:id="24" w:name="robustness-testing"/>
    <w:p>
      <w:pPr>
        <w:pStyle w:val="Heading2"/>
      </w:pPr>
      <w:r>
        <w:t xml:space="preserve">5. Robustness Testing</w:t>
      </w:r>
    </w:p>
    <w:p>
      <w:pPr>
        <w:pStyle w:val="FirstParagraph"/>
      </w:pPr>
      <w:r>
        <w:rPr>
          <w:bCs/>
          <w:b/>
        </w:rPr>
        <w:t xml:space="preserve">Verdict: Robust across vulnerable populations</w:t>
      </w:r>
      <w:r>
        <w:t xml:space="preserve"> </w:t>
      </w:r>
      <w:r>
        <w:t xml:space="preserve">- Profiles tested: 5</w:t>
      </w:r>
      <w:r>
        <w:t xml:space="preserve"> </w:t>
      </w:r>
      <w:r>
        <w:t xml:space="preserve">- Profiles passed: 5</w:t>
      </w:r>
    </w:p>
    <w:p>
      <w:pPr>
        <w:numPr>
          <w:ilvl w:val="0"/>
          <w:numId w:val="1002"/>
        </w:numPr>
        <w:pStyle w:val="Compact"/>
      </w:pPr>
      <w:r>
        <w:t xml:space="preserve">S_ADV_001: richness=3.45 [PASS]</w:t>
      </w:r>
    </w:p>
    <w:p>
      <w:pPr>
        <w:numPr>
          <w:ilvl w:val="0"/>
          <w:numId w:val="1002"/>
        </w:numPr>
        <w:pStyle w:val="Compact"/>
      </w:pPr>
      <w:r>
        <w:t xml:space="preserve">S_ADV_002: richness=3.01 [PASS]</w:t>
      </w:r>
    </w:p>
    <w:p>
      <w:pPr>
        <w:numPr>
          <w:ilvl w:val="0"/>
          <w:numId w:val="1002"/>
        </w:numPr>
        <w:pStyle w:val="Compact"/>
      </w:pPr>
      <w:r>
        <w:t xml:space="preserve">S_ADV_003: richness=3.51 [PASS]</w:t>
      </w:r>
    </w:p>
    <w:p>
      <w:pPr>
        <w:numPr>
          <w:ilvl w:val="0"/>
          <w:numId w:val="1002"/>
        </w:numPr>
        <w:pStyle w:val="Compact"/>
      </w:pPr>
      <w:r>
        <w:t xml:space="preserve">S_ADV_004: richness=3.76 [PASS]</w:t>
      </w:r>
    </w:p>
    <w:p>
      <w:pPr>
        <w:numPr>
          <w:ilvl w:val="0"/>
          <w:numId w:val="1002"/>
        </w:numPr>
        <w:pStyle w:val="Compact"/>
      </w:pPr>
      <w:r>
        <w:t xml:space="preserve">S_ADV_005: richness=3.02 [PASS]</w:t>
      </w:r>
    </w:p>
    <w:bookmarkEnd w:id="24"/>
    <w:bookmarkStart w:id="25" w:name="inter-rater-reliability"/>
    <w:p>
      <w:pPr>
        <w:pStyle w:val="Heading2"/>
      </w:pPr>
      <w:r>
        <w:t xml:space="preserve">6. Inter-Rater Reliability</w:t>
      </w:r>
    </w:p>
    <w:p>
      <w:pPr>
        <w:pStyle w:val="FirstParagraph"/>
      </w:pPr>
      <w:r>
        <w:t xml:space="preserve">All dimensions showed excellent agreement (ICC &gt; 0.84).</w:t>
      </w:r>
      <w:r>
        <w:t xml:space="preserve"> </w:t>
      </w:r>
      <w:r>
        <w:t xml:space="preserve">No dimensions below the 0.60 concern threshold.</w:t>
      </w:r>
    </w:p>
    <w:bookmarkEnd w:id="25"/>
    <w:bookmarkStart w:id="26" w:name="known-limitations"/>
    <w:p>
      <w:pPr>
        <w:pStyle w:val="Heading2"/>
      </w:pPr>
      <w:r>
        <w:t xml:space="preserve">7. Known Limitations</w:t>
      </w:r>
    </w:p>
    <w:p>
      <w:pPr>
        <w:numPr>
          <w:ilvl w:val="0"/>
          <w:numId w:val="1003"/>
        </w:numPr>
        <w:pStyle w:val="Compact"/>
      </w:pPr>
      <w:r>
        <w:t xml:space="preserve">All data is synthetic (Synthea EHR + LLM personas)</w:t>
      </w:r>
    </w:p>
    <w:p>
      <w:pPr>
        <w:numPr>
          <w:ilvl w:val="0"/>
          <w:numId w:val="1003"/>
        </w:numPr>
        <w:pStyle w:val="Compact"/>
      </w:pPr>
      <w:r>
        <w:t xml:space="preserve">Scoring uses LLM-as-judge methodology</w:t>
      </w:r>
    </w:p>
    <w:p>
      <w:pPr>
        <w:numPr>
          <w:ilvl w:val="0"/>
          <w:numId w:val="1003"/>
        </w:numPr>
        <w:pStyle w:val="Compact"/>
      </w:pPr>
      <w:r>
        <w:t xml:space="preserve">2 blind spot dimensions remain underperforming</w:t>
      </w:r>
    </w:p>
    <w:p>
      <w:pPr>
        <w:numPr>
          <w:ilvl w:val="0"/>
          <w:numId w:val="1003"/>
        </w:numPr>
        <w:pStyle w:val="Compact"/>
      </w:pPr>
      <w:r>
        <w:t xml:space="preserve">Preconception phase questions consistently underperform</w:t>
      </w:r>
    </w:p>
    <w:p>
      <w:pPr>
        <w:numPr>
          <w:ilvl w:val="0"/>
          <w:numId w:val="1003"/>
        </w:numPr>
        <w:pStyle w:val="Compact"/>
      </w:pPr>
      <w:r>
        <w:t xml:space="preserve">First trimester shows lower richness across all versions</w:t>
      </w:r>
    </w:p>
    <w:bookmarkEnd w:id="26"/>
    <w:bookmarkStart w:id="27" w:name="recommended-administration-protocol"/>
    <w:p>
      <w:pPr>
        <w:pStyle w:val="Heading2"/>
      </w:pPr>
      <w:r>
        <w:t xml:space="preserve">8. Recommended Administration Protocol</w:t>
      </w:r>
    </w:p>
    <w:p>
      <w:pPr>
        <w:numPr>
          <w:ilvl w:val="0"/>
          <w:numId w:val="1004"/>
        </w:numPr>
        <w:pStyle w:val="Compact"/>
      </w:pPr>
      <w:r>
        <w:t xml:space="preserve">Administer in semi-structured interview format (45-60 minutes)</w:t>
      </w:r>
    </w:p>
    <w:p>
      <w:pPr>
        <w:numPr>
          <w:ilvl w:val="0"/>
          <w:numId w:val="1004"/>
        </w:numPr>
        <w:pStyle w:val="Compact"/>
      </w:pPr>
      <w:r>
        <w:t xml:space="preserve">Follow question order within each journey phase</w:t>
      </w:r>
    </w:p>
    <w:p>
      <w:pPr>
        <w:numPr>
          <w:ilvl w:val="0"/>
          <w:numId w:val="1004"/>
        </w:numPr>
        <w:pStyle w:val="Compact"/>
      </w:pPr>
      <w:r>
        <w:t xml:space="preserve">Deploy all probes when initial responses are thin</w:t>
      </w:r>
    </w:p>
    <w:p>
      <w:pPr>
        <w:numPr>
          <w:ilvl w:val="0"/>
          <w:numId w:val="1004"/>
        </w:numPr>
        <w:pStyle w:val="Compact"/>
      </w:pPr>
      <w:r>
        <w:t xml:space="preserve">Allow natural conversation flow — do not rigidly enforce question sequence</w:t>
      </w:r>
    </w:p>
    <w:p>
      <w:pPr>
        <w:numPr>
          <w:ilvl w:val="0"/>
          <w:numId w:val="1004"/>
        </w:numPr>
        <w:pStyle w:val="Compact"/>
      </w:pPr>
      <w:r>
        <w:t xml:space="preserve">Adapt language for participant literacy and comfort level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2026-03-20T10:52:47Z</dcterms:created>
  <dcterms:modified xsi:type="dcterms:W3CDTF">2026-03-20T10:52:47Z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