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277.77777777777777"/>
        <w:tblLook w:firstRow="0" w:lastRow="0" w:firstColumn="0" w:lastColumn="0" w:noHBand="0" w:noVBand="0" w:val="0000"/>
      </w:tblPr>
      <w:tblGrid>
        <w:gridCol w:w="440"/>
      </w:tblGrid>
      <w:tr>
        <w:tc>
          <w:p>
            <w:pPr>
              <w:pStyle w:val="Compact"/>
              <w:jc w:val="left"/>
            </w:pPr>
            <w:r>
              <w:t xml:space="preserve"># Paper Brief for JPIM Submission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 Title</w:t>
            </w:r>
            <w:r>
              <w:t xml:space="preserve"> </w:t>
            </w:r>
            <w:r>
              <w:t xml:space="preserve">AI-Enabled Questionnaire Design for Maternity-Care Innovation: A Synthetic User Approach Combining Composite Personas and Electronic Health Records at the Front End of Innovation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 Target Journal</w:t>
            </w:r>
            <w:r>
              <w:t xml:space="preserve"> </w:t>
            </w:r>
            <w:r>
              <w:t xml:space="preserve">Journal of Product Innovation Management (JPIM)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 Theoretical Framework</w:t>
            </w:r>
            <w:r>
              <w:t xml:space="preserve"> </w:t>
            </w:r>
            <w:r>
              <w:t xml:space="preserve">Knowledge-Based View (KBV) of the firm (Grant, 1996; Nonaka, 1994)</w:t>
            </w:r>
            <w:r>
              <w:t xml:space="preserve"> </w:t>
            </w:r>
            <w:r>
              <w:t xml:space="preserve">Dynamic capabilities / micro-sensing (Teece, 2007; Day, 1994)</w:t>
            </w:r>
            <w:r>
              <w:t xml:space="preserve"> </w:t>
            </w:r>
            <w:r>
              <w:t xml:space="preserve">AI in innovation management (Gama &amp; Magistretti, 2025)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 Research Questions</w:t>
            </w:r>
            <w:r>
              <w:t xml:space="preserve"> </w:t>
            </w:r>
            <w:r>
              <w:t xml:space="preserve">RQ1: How can AI-enabled synthetic user research be used to design, stress-test, and comparatively evaluate multiple questionnaire versions for maternity-care user research?</w:t>
            </w:r>
            <w:r>
              <w:t xml:space="preserve"> </w:t>
            </w:r>
            <w:r>
              <w:t xml:space="preserve">RQ2: Which questionnaire design strategy produces the richest user knowledge in terms of breadth, depth, latent dimension surfacing, and innovation-relevant service gap identification?</w:t>
            </w:r>
            <w:r>
              <w:t xml:space="preserve"> </w:t>
            </w:r>
            <w:r>
              <w:t xml:space="preserve">RQ3: What configurations of resources, routines, and governance mechanisms constitute this capability, and what evidence of saturation and robustness validates its methodological adequacy?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 Key Contributions</w:t>
            </w:r>
            <w:r>
              <w:t xml:space="preserve"> </w:t>
            </w:r>
            <w:r>
              <w:t xml:space="preserve">1. THEORETICAL: Extends AI-for-innovation literature by operationalising composite synthetic personas as a knowledge-creation micro-capability at the front end of innovation.</w:t>
            </w:r>
            <w:r>
              <w:t xml:space="preserve"> </w:t>
            </w:r>
            <w:r>
              <w:t xml:space="preserve">2. METHODOLOGICAL: Introduces a replicable pipeline for multi-version questionnaire generation, BIBD comparative evaluation, and automated saturation/robustness analysis.</w:t>
            </w:r>
            <w:r>
              <w:t xml:space="preserve"> </w:t>
            </w:r>
            <w:r>
              <w:t xml:space="preserve">3. MANAGERIAL: Identifies specific service gaps and innovation opportunities in maternity care.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 Empirical Context</w:t>
            </w:r>
            <w:r>
              <w:t xml:space="preserve"> </w:t>
            </w:r>
            <w:r>
              <w:t xml:space="preserve">Maternity care across preconception, pregnancy, birth, and postpartum. 150 composite personas, 5 questionnaire versions, 355 interviews, iterative refinement, saturation analysis, and adversarial robustness testing.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## AI Disclosure (JPIM requirement)</w:t>
            </w:r>
            <w:r>
              <w:t xml:space="preserve"> </w:t>
            </w:r>
            <w:r>
              <w:t xml:space="preserve">Generative AI tools (Claude, GPT, Gemini) were used to generate synthetic maternity personas, conduct synthetic interviews, and score response quality. All AI-generated content is explicitly labelled as synthetic. AI tools are NOT listed as authors. Human researchers maintained oversight of all design decisions, theoretical framing, and interpretive analysis.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2026-03-20T10:52:48Z</dcterms:created>
  <dcterms:modified xsi:type="dcterms:W3CDTF">2026-03-20T10:52:48Z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