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sults"/>
    <w:p>
      <w:pPr>
        <w:pStyle w:val="Heading2"/>
      </w:pPr>
      <w:r>
        <w:t xml:space="preserve">5. Results</w:t>
      </w:r>
    </w:p>
    <w:bookmarkStart w:id="20" w:name="descriptive-overview"/>
    <w:p>
      <w:pPr>
        <w:pStyle w:val="Heading3"/>
      </w:pPr>
      <w:r>
        <w:t xml:space="preserve">5.1 Descriptive Overview</w:t>
      </w:r>
    </w:p>
    <w:p>
      <w:pPr>
        <w:pStyle w:val="FirstParagraph"/>
      </w:pPr>
      <w:r>
        <w:t xml:space="preserve">A total of 300 synthetic interview transcripts were generated using a Balanced</w:t>
      </w:r>
      <w:r>
        <w:t xml:space="preserve"> </w:t>
      </w:r>
      <w:r>
        <w:t xml:space="preserve">Incomplete Block Design (BIBD) with five questionnaire versions administered to</w:t>
      </w:r>
      <w:r>
        <w:t xml:space="preserve"> </w:t>
      </w:r>
      <w:r>
        <w:t xml:space="preserve">150 composite synthetic personas. Each persona completed two of the five</w:t>
      </w:r>
      <w:r>
        <w:t xml:space="preserve"> </w:t>
      </w:r>
      <w:r>
        <w:t xml:space="preserve">versions, enabling within-subject comparison. Across the full pipeline of</w:t>
      </w:r>
      <w:r>
        <w:t xml:space="preserve"> </w:t>
      </w:r>
      <w:r>
        <w:t xml:space="preserve">355 sessions (including refinement and adversarial rounds), the total</w:t>
      </w:r>
      <w:r>
        <w:t xml:space="preserve"> </w:t>
      </w:r>
      <w:r>
        <w:t xml:space="preserve">computational cost was US$0.64.</w:t>
      </w:r>
    </w:p>
    <w:p>
      <w:pPr>
        <w:pStyle w:val="BodyText"/>
      </w:pPr>
      <w:r>
        <w:t xml:space="preserve">Quality evaluation yielded 6,458 question–response pairs scored on a</w:t>
      </w:r>
      <w:r>
        <w:t xml:space="preserve"> </w:t>
      </w:r>
      <w:r>
        <w:t xml:space="preserve">0–5 scale across five dimensions. The overall mean composite richness score was</w:t>
      </w:r>
      <w:r>
        <w:t xml:space="preserve"> </w:t>
      </w:r>
      <w:r>
        <w:t xml:space="preserve">3.06 (SD reported per version in Table 1). The mean latent dimension</w:t>
      </w:r>
      <w:r>
        <w:t xml:space="preserve"> </w:t>
      </w:r>
      <w:r>
        <w:t xml:space="preserve">surfacing rate across all transcripts was 72.1%.</w:t>
      </w:r>
    </w:p>
    <w:p>
      <w:pPr>
        <w:pStyle w:val="BodyText"/>
      </w:pPr>
      <w:r>
        <w:t xml:space="preserve">Across the five quality dimensions, mean scores were: emotional depth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3.32), specificity (</w:t>
      </w:r>
      <w:r>
        <w:rPr>
          <w:iCs/>
          <w:i/>
        </w:rPr>
        <w:t xml:space="preserve">M</w:t>
      </w:r>
      <w:r>
        <w:t xml:space="preserve"> </w:t>
      </w:r>
      <w:r>
        <w:t xml:space="preserve">= 2.95), latent surfacing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3.28), narrative quality (</w:t>
      </w:r>
      <w:r>
        <w:rPr>
          <w:iCs/>
          <w:i/>
        </w:rPr>
        <w:t xml:space="preserve">M</w:t>
      </w:r>
      <w:r>
        <w:t xml:space="preserve"> </w:t>
      </w:r>
      <w:r>
        <w:t xml:space="preserve">= 3.13), and clinical grounding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2.59). Clinical grounding consistently scored lowest, reflecting the</w:t>
      </w:r>
      <w:r>
        <w:t xml:space="preserve"> </w:t>
      </w:r>
      <w:r>
        <w:t xml:space="preserve">challenge of eliciting clinically specific detail from synthetic personas. Quality</w:t>
      </w:r>
      <w:r>
        <w:t xml:space="preserve"> </w:t>
      </w:r>
      <w:r>
        <w:t xml:space="preserve">scoring was performed by google/gemini-3-flash-preview; interviews were conducted by openai/gpt-5-mini-2025-08-07</w:t>
      </w:r>
      <w:r>
        <w:t xml:space="preserve"> </w:t>
      </w:r>
      <w:r>
        <w:t xml:space="preserve">with multi-provider persona role-play (see Table 1 and Figure 1).</w:t>
      </w:r>
    </w:p>
    <w:bookmarkEnd w:id="20"/>
    <w:bookmarkStart w:id="21" w:name="response-quality-across-versions"/>
    <w:p>
      <w:pPr>
        <w:pStyle w:val="Heading3"/>
      </w:pPr>
      <w:r>
        <w:t xml:space="preserve">5.2 Response Quality Across Versions</w:t>
      </w:r>
    </w:p>
    <w:p>
      <w:pPr>
        <w:pStyle w:val="FirstParagraph"/>
      </w:pPr>
      <w:r>
        <w:t xml:space="preserve">Quality scores varied significantly across the five questionnaire versions. A</w:t>
      </w:r>
      <w:r>
        <w:t xml:space="preserve"> </w:t>
      </w:r>
      <w:r>
        <w:t xml:space="preserve">Kruskal–Wallis test revealed a statistically significant difference in composite</w:t>
      </w:r>
      <w:r>
        <w:t xml:space="preserve"> </w:t>
      </w:r>
      <w:r>
        <w:t xml:space="preserve">richness scores (</w:t>
      </w:r>
      <w:r>
        <w:rPr>
          <w:iCs/>
          <w:i/>
        </w:rPr>
        <w:t xml:space="preserve">H</w:t>
      </w:r>
      <w:r>
        <w:t xml:space="preserve"> </w:t>
      </w:r>
      <w:r>
        <w:t xml:space="preserve">= 23.313,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0.001), confirming that version</w:t>
      </w:r>
      <w:r>
        <w:t xml:space="preserve"> </w:t>
      </w:r>
      <w:r>
        <w:t xml:space="preserve">design influenced response quality (Table 1, Figure 1).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Quality scores by questionnaire version.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Richness M(SD)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Surfacing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2.32 (1.96)</w:t>
            </w:r>
          </w:p>
        </w:tc>
        <w:tc>
          <w:p>
            <w:pPr>
              <w:pStyle w:val="Compact"/>
              <w:jc w:val="left"/>
            </w:pPr>
            <w:r>
              <w:t xml:space="preserve">(1.83, 2.82)</w:t>
            </w:r>
          </w:p>
        </w:tc>
        <w:tc>
          <w:p>
            <w:pPr>
              <w:pStyle w:val="Compact"/>
              <w:jc w:val="left"/>
            </w:pPr>
            <w: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2.81 (1.83)</w:t>
            </w:r>
          </w:p>
        </w:tc>
        <w:tc>
          <w:p>
            <w:pPr>
              <w:pStyle w:val="Compact"/>
              <w:jc w:val="left"/>
            </w:pPr>
            <w:r>
              <w:t xml:space="preserve">(2.35, 3.27)</w:t>
            </w:r>
          </w:p>
        </w:tc>
        <w:tc>
          <w:p>
            <w:pPr>
              <w:pStyle w:val="Compact"/>
              <w:jc w:val="left"/>
            </w:pPr>
            <w:r>
              <w:t xml:space="preserve">76.1%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2.64 (1.97)</w:t>
            </w:r>
          </w:p>
        </w:tc>
        <w:tc>
          <w:p>
            <w:pPr>
              <w:pStyle w:val="Compact"/>
              <w:jc w:val="left"/>
            </w:pPr>
            <w:r>
              <w:t xml:space="preserve">(2.14, 3.14)</w:t>
            </w:r>
          </w:p>
        </w:tc>
        <w:tc>
          <w:p>
            <w:pPr>
              <w:pStyle w:val="Compact"/>
              <w:jc w:val="left"/>
            </w:pPr>
            <w:r>
              <w:t xml:space="preserve">69.8%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2.99 (1.78)</w:t>
            </w:r>
          </w:p>
        </w:tc>
        <w:tc>
          <w:p>
            <w:pPr>
              <w:pStyle w:val="Compact"/>
              <w:jc w:val="left"/>
            </w:pPr>
            <w:r>
              <w:t xml:space="preserve">(2.54, 3.44)</w:t>
            </w:r>
          </w:p>
        </w:tc>
        <w:tc>
          <w:p>
            <w:pPr>
              <w:pStyle w:val="Compact"/>
              <w:jc w:val="left"/>
            </w:pPr>
            <w:r>
              <w:t xml:space="preserve">80.7%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2.96 (1.80)</w:t>
            </w:r>
          </w:p>
        </w:tc>
        <w:tc>
          <w:p>
            <w:pPr>
              <w:pStyle w:val="Compact"/>
              <w:jc w:val="left"/>
            </w:pPr>
            <w:r>
              <w:t xml:space="preserve">(2.50, 3.41)</w:t>
            </w:r>
          </w:p>
        </w:tc>
        <w:tc>
          <w:p>
            <w:pPr>
              <w:pStyle w:val="Compact"/>
              <w:jc w:val="left"/>
            </w:pPr>
            <w:r>
              <w:t xml:space="preserve">73.0%</w:t>
            </w:r>
          </w:p>
        </w:tc>
      </w:tr>
    </w:tbl>
    <w:p>
      <w:pPr>
        <w:pStyle w:val="BodyText"/>
      </w:pPr>
      <w:r>
        <w:t xml:space="preserve">All pairwise comparisons yielded small effect sizes (|</w:t>
      </w:r>
      <w:r>
        <w:rPr>
          <w:iCs/>
          <w:i/>
        </w:rPr>
        <w:t xml:space="preserve">d</w:t>
      </w:r>
      <w:r>
        <w:t xml:space="preserve">| &lt; 0.50), suggesting</w:t>
      </w:r>
      <w:r>
        <w:t xml:space="preserve"> </w:t>
      </w:r>
      <w:r>
        <w:t xml:space="preserve">that while statistically significant differences existed, practical differences</w:t>
      </w:r>
      <w:r>
        <w:t xml:space="preserve"> </w:t>
      </w:r>
      <w:r>
        <w:t xml:space="preserve">between versions were modest (Table 2).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Pairwise effect sizes (Cohen’s</w:t>
      </w:r>
      <w:r>
        <w:t xml:space="preserve"> </w:t>
      </w:r>
      <w:r>
        <w:rPr>
          <w:iCs/>
          <w:i/>
        </w:rPr>
        <w:t xml:space="preserve">d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w:r>
              <w:rPr>
                <w:iCs/>
                <w:i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21"/>
    <w:bookmarkStart w:id="22" w:name="within-subject-comparison-bibd"/>
    <w:p>
      <w:pPr>
        <w:pStyle w:val="Heading3"/>
      </w:pPr>
      <w:r>
        <w:t xml:space="preserve">5.3 Within-Subject Comparison (BIBD)</w:t>
      </w:r>
    </w:p>
    <w:p>
      <w:pPr>
        <w:pStyle w:val="FirstParagraph"/>
      </w:pPr>
      <w:r>
        <w:t xml:space="preserve">The balanced incomplete block design enabled within-subject comparisons across</w:t>
      </w:r>
      <w:r>
        <w:t xml:space="preserve"> </w:t>
      </w:r>
      <w:r>
        <w:t xml:space="preserve">five BIBD groups, each comprising 30 persona pairs. Wilcoxon signed-rank tests</w:t>
      </w:r>
      <w:r>
        <w:t xml:space="preserve"> </w:t>
      </w:r>
      <w:r>
        <w:t xml:space="preserve">were applied to each group’s paired richness scores. Of the 5 within-subject</w:t>
      </w:r>
      <w:r>
        <w:t xml:space="preserve"> </w:t>
      </w:r>
      <w:r>
        <w:t xml:space="preserve">comparisons, 4 reached statistical significance (</w:t>
      </w:r>
      <w:r>
        <w:rPr>
          <w:iCs/>
          <w:i/>
        </w:rPr>
        <w:t xml:space="preserve">p</w:t>
      </w:r>
      <w:r>
        <w:t xml:space="preserve"> </w:t>
      </w:r>
      <w:r>
        <w:t xml:space="preserve">&lt; .05), as reported</w:t>
      </w:r>
      <w:r>
        <w:t xml:space="preserve"> </w:t>
      </w:r>
      <w:r>
        <w:t xml:space="preserve">in Table 3.</w:t>
      </w:r>
    </w:p>
    <w:p>
      <w:pPr>
        <w:pStyle w:val="BodyText"/>
      </w:pPr>
      <w:r>
        <w:rPr>
          <w:bCs/>
          <w:b/>
        </w:rPr>
        <w:t xml:space="preserve">Table 3.</w:t>
      </w:r>
      <w:r>
        <w:t xml:space="preserve"> </w:t>
      </w:r>
      <w:r>
        <w:t xml:space="preserve">Within-subject comparisons by BIBD group.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Mean Diff</w:t>
            </w:r>
          </w:p>
        </w:tc>
        <w:tc>
          <w:p>
            <w:pPr>
              <w:pStyle w:val="Compact"/>
              <w:jc w:val="left"/>
            </w:pPr>
            <w:r>
              <w:t xml:space="preserve">Wilcoxon Z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Favours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A V1 vs V2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-0.203</w:t>
            </w:r>
          </w:p>
        </w:tc>
        <w:tc>
          <w:p>
            <w:pPr>
              <w:pStyle w:val="Compact"/>
              <w:jc w:val="left"/>
            </w:pPr>
            <w:r>
              <w:t xml:space="preserve">-3.007</w:t>
            </w:r>
          </w:p>
        </w:tc>
        <w:tc>
          <w:p>
            <w:pPr>
              <w:pStyle w:val="Compact"/>
              <w:jc w:val="left"/>
            </w:pPr>
            <w:r>
              <w:t xml:space="preserve">0.0026*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B V1 vs V3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-0.060</w:t>
            </w:r>
          </w:p>
        </w:tc>
        <w:tc>
          <w:p>
            <w:pPr>
              <w:pStyle w:val="Compact"/>
              <w:jc w:val="left"/>
            </w:pPr>
            <w:r>
              <w:t xml:space="preserve">-2.334</w:t>
            </w:r>
          </w:p>
        </w:tc>
        <w:tc>
          <w:p>
            <w:pPr>
              <w:pStyle w:val="Compact"/>
              <w:jc w:val="left"/>
            </w:pPr>
            <w:r>
              <w:t xml:space="preserve">0.0196*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C V2 vs V4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+0.015</w:t>
            </w:r>
          </w:p>
        </w:tc>
        <w:tc>
          <w:p>
            <w:pPr>
              <w:pStyle w:val="Compact"/>
              <w:jc w:val="left"/>
            </w:pPr>
            <w:r>
              <w:t xml:space="preserve">-0.192</w:t>
            </w:r>
          </w:p>
        </w:tc>
        <w:tc>
          <w:p>
            <w:pPr>
              <w:pStyle w:val="Compact"/>
              <w:jc w:val="left"/>
            </w:pPr>
            <w:r>
              <w:t xml:space="preserve">0.8476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D V3 vs 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+0.123</w:t>
            </w:r>
          </w:p>
        </w:tc>
        <w:tc>
          <w:p>
            <w:pPr>
              <w:pStyle w:val="Compact"/>
              <w:jc w:val="left"/>
            </w:pPr>
            <w:r>
              <w:t xml:space="preserve">-3.657</w:t>
            </w:r>
          </w:p>
        </w:tc>
        <w:tc>
          <w:p>
            <w:pPr>
              <w:pStyle w:val="Compact"/>
              <w:jc w:val="left"/>
            </w:pPr>
            <w:r>
              <w:t xml:space="preserve">0.0003*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E V4 vs V5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+0.101</w:t>
            </w:r>
          </w:p>
        </w:tc>
        <w:tc>
          <w:p>
            <w:pPr>
              <w:pStyle w:val="Compact"/>
              <w:jc w:val="left"/>
            </w:pPr>
            <w:r>
              <w:t xml:space="preserve">-2.343</w:t>
            </w:r>
          </w:p>
        </w:tc>
        <w:tc>
          <w:p>
            <w:pPr>
              <w:pStyle w:val="Compact"/>
              <w:jc w:val="left"/>
            </w:pPr>
            <w:r>
              <w:t xml:space="preserve">0.0191*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</w:tbl>
    <w:p>
      <w:pPr>
        <w:pStyle w:val="BodyText"/>
      </w:pPr>
      <w:r>
        <w:t xml:space="preserve">These results corroborated the between-subject findings: later versions (V2–V4)</w:t>
      </w:r>
      <w:r>
        <w:t xml:space="preserve"> </w:t>
      </w:r>
      <w:r>
        <w:t xml:space="preserve">consistently outperformed V1, and V4 emerged as the preferred instrument in</w:t>
      </w:r>
      <w:r>
        <w:t xml:space="preserve"> </w:t>
      </w:r>
      <w:r>
        <w:t xml:space="preserve">head-to-head paired comparisons (see Figure 2).</w:t>
      </w:r>
    </w:p>
    <w:bookmarkEnd w:id="22"/>
    <w:bookmarkStart w:id="23" w:name="latent-dimension-coverage"/>
    <w:p>
      <w:pPr>
        <w:pStyle w:val="Heading3"/>
      </w:pPr>
      <w:r>
        <w:t xml:space="preserve">5.4 Latent Dimension Coverage</w:t>
      </w:r>
    </w:p>
    <w:p>
      <w:pPr>
        <w:pStyle w:val="FirstParagraph"/>
      </w:pPr>
      <w:r>
        <w:t xml:space="preserve">Across 12 latent dimensions tracked per version, surfacing rates varied</w:t>
      </w:r>
      <w:r>
        <w:t xml:space="preserve"> </w:t>
      </w:r>
      <w:r>
        <w:t xml:space="preserve">substantially (Table 5, Figure 3). Coverage analysis identified 35 blind</w:t>
      </w:r>
      <w:r>
        <w:t xml:space="preserve"> </w:t>
      </w:r>
      <w:r>
        <w:t xml:space="preserve">spots (dimension–version cells with surfacing rates below 20%).</w:t>
      </w:r>
    </w:p>
    <w:p>
      <w:pPr>
        <w:pStyle w:val="BodyText"/>
      </w:pPr>
      <w:r>
        <w:rPr>
          <w:bCs/>
          <w:b/>
        </w:rPr>
        <w:t xml:space="preserve">Table 5.</w:t>
      </w:r>
      <w:r>
        <w:t xml:space="preserve"> </w:t>
      </w:r>
      <w:r>
        <w:t xml:space="preserve">Latent dimension surfacing rates by version (heatmap summary).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 Vs Dependence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Image Autonomy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Information Seeking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Dignity Respect</w:t>
            </w:r>
          </w:p>
        </w:tc>
        <w:tc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Tensions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 Care Networks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Intergenerational Patterns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Role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Dynamics</w:t>
            </w:r>
          </w:p>
        </w:tc>
        <w:tc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Barriers</w:t>
            </w:r>
          </w:p>
        </w:tc>
        <w:tc>
          <w:p>
            <w:pPr>
              <w:pStyle w:val="Compact"/>
              <w:jc w:val="left"/>
            </w:pPr>
            <w:r>
              <w:t xml:space="preserve">63.3%</w:t>
            </w:r>
          </w:p>
        </w:tc>
        <w:tc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p>
            <w:pPr>
              <w:pStyle w:val="Compact"/>
              <w:jc w:val="left"/>
            </w:pPr>
            <w:r>
              <w:t xml:space="preserve">81.7%</w:t>
            </w:r>
          </w:p>
        </w:tc>
        <w:tc>
          <w:p>
            <w:pPr>
              <w:pStyle w:val="Compact"/>
              <w:jc w:val="left"/>
            </w:pPr>
            <w:r>
              <w:t xml:space="preserve">73.3%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Distrust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Well-surfaced dimensions</w:t>
      </w:r>
      <w:r>
        <w:t xml:space="preserve"> </w:t>
      </w:r>
      <w:r>
        <w:t xml:space="preserve">(mean &gt; 50% across versions): identity tensions (74.7%), structural barriers (73.7%), power dynamics (72.0%), informal care networks (71.0%), autonomy vs dependence (71.0%).</w:t>
      </w:r>
    </w:p>
    <w:p>
      <w:pPr>
        <w:pStyle w:val="BodyText"/>
      </w:pPr>
      <w:r>
        <w:rPr>
          <w:bCs/>
          <w:b/>
        </w:rPr>
        <w:t xml:space="preserve">Persistent blind spots</w:t>
      </w:r>
      <w:r>
        <w:t xml:space="preserve"> </w:t>
      </w:r>
      <w:r>
        <w:t xml:space="preserve">(mean &lt; 10% across versions): trust distrust (0.0%), partner role (1.0%), body image autonomy (1.0%), digital information seeking (1.7%), continuity of care (2.7%), intergenerational patterns (3.0%), dignity respect (6.7%).</w:t>
      </w:r>
    </w:p>
    <w:p>
      <w:pPr>
        <w:pStyle w:val="BodyText"/>
      </w:pPr>
      <w:r>
        <w:t xml:space="preserve">The trust/distrust dimension recorded a surfacing rate of 0.0% across all five</w:t>
      </w:r>
      <w:r>
        <w:t xml:space="preserve"> </w:t>
      </w:r>
      <w:r>
        <w:t xml:space="preserve">versions, indicating a systematic instrument limitation. Body image autonomy,</w:t>
      </w:r>
      <w:r>
        <w:t xml:space="preserve"> </w:t>
      </w:r>
      <w:r>
        <w:t xml:space="preserve">continuity of care, digital information seeking, and partner role similarly</w:t>
      </w:r>
      <w:r>
        <w:t xml:space="preserve"> </w:t>
      </w:r>
      <w:r>
        <w:t xml:space="preserve">showed near-zero surfacing rates, suggesting these experiential domains require</w:t>
      </w:r>
      <w:r>
        <w:t xml:space="preserve"> </w:t>
      </w:r>
      <w:r>
        <w:t xml:space="preserve">targeted probing strategies beyond those implemented in the current instrument</w:t>
      </w:r>
      <w:r>
        <w:t xml:space="preserve"> </w:t>
      </w:r>
      <w:r>
        <w:t xml:space="preserve">set (see Section 6.4 for discussion of implications).</w:t>
      </w:r>
    </w:p>
    <w:bookmarkEnd w:id="23"/>
    <w:bookmarkStart w:id="24" w:name="service-provision-mapping"/>
    <w:p>
      <w:pPr>
        <w:pStyle w:val="Heading3"/>
      </w:pPr>
      <w:r>
        <w:t xml:space="preserve">5.5 Service Provision Mapping</w:t>
      </w:r>
    </w:p>
    <w:p>
      <w:pPr>
        <w:pStyle w:val="FirstParagraph"/>
      </w:pPr>
      <w:r>
        <w:t xml:space="preserve">Service mapping analysis across 300 transcripts</w:t>
      </w:r>
      <w:r>
        <w:t xml:space="preserve"> </w:t>
      </w:r>
      <w:r>
        <w:t xml:space="preserve">identified 442 service gaps and 584 innovation opportunities</w:t>
      </w:r>
      <w:r>
        <w:t xml:space="preserve"> </w:t>
      </w:r>
      <w:r>
        <w:t xml:space="preserve">(Figure 4). The majority of service gaps were classified as high severity, indicating</w:t>
      </w:r>
      <w:r>
        <w:t xml:space="preserve"> </w:t>
      </w:r>
      <w:r>
        <w:t xml:space="preserve">that synthetic personas consistently articulated unmet needs in maternity care</w:t>
      </w:r>
      <w:r>
        <w:t xml:space="preserve"> </w:t>
      </w:r>
      <w:r>
        <w:t xml:space="preserve">provision.</w:t>
      </w:r>
    </w:p>
    <w:p>
      <w:pPr>
        <w:pStyle w:val="BodyText"/>
      </w:pPr>
      <w:r>
        <w:rPr>
          <w:bCs/>
          <w:b/>
        </w:rPr>
        <w:t xml:space="preserve">Table 6.</w:t>
      </w:r>
      <w:r>
        <w:t xml:space="preserve"> </w:t>
      </w:r>
      <w:r>
        <w:t xml:space="preserve">Service gap severity distribution by category (top 10).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Decision Making</w:t>
            </w:r>
          </w:p>
        </w:tc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Support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 Coordination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Postnatal Mental Health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Quality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Dignity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 Environment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The most frequently identified gap categories were emotional support</w:t>
      </w:r>
      <w:r>
        <w:t xml:space="preserve"> </w:t>
      </w:r>
      <w:r>
        <w:t xml:space="preserve">(88 high-severity), shared decision-making (81 high-severity), and continuity</w:t>
      </w:r>
      <w:r>
        <w:t xml:space="preserve"> </w:t>
      </w:r>
      <w:r>
        <w:t xml:space="preserve">of care (73 high-severity). These findings align with established maternity</w:t>
      </w:r>
      <w:r>
        <w:t xml:space="preserve"> </w:t>
      </w:r>
      <w:r>
        <w:t xml:space="preserve">care literature identifying relational and communicative dimensions as persistent</w:t>
      </w:r>
      <w:r>
        <w:t xml:space="preserve"> </w:t>
      </w:r>
      <w:r>
        <w:t xml:space="preserve">areas of unmet need.</w:t>
      </w:r>
    </w:p>
    <w:bookmarkEnd w:id="24"/>
    <w:bookmarkStart w:id="25" w:name="innovation-opportunities"/>
    <w:p>
      <w:pPr>
        <w:pStyle w:val="Heading3"/>
      </w:pPr>
      <w:r>
        <w:t xml:space="preserve">5.6 Innovation Opportunities</w:t>
      </w:r>
    </w:p>
    <w:p>
      <w:pPr>
        <w:pStyle w:val="FirstParagraph"/>
      </w:pPr>
      <w:r>
        <w:t xml:space="preserve">A total of 584 innovation opportunities were extracted from synthetic</w:t>
      </w:r>
      <w:r>
        <w:t xml:space="preserve"> </w:t>
      </w:r>
      <w:r>
        <w:t xml:space="preserve">interview responses (Table 7, Figure 5). The five most frequently identified</w:t>
      </w:r>
      <w:r>
        <w:t xml:space="preserve"> </w:t>
      </w:r>
      <w:r>
        <w:t xml:space="preserve">innovation areas were: digital tools (</w:t>
      </w:r>
      <w:r>
        <w:rPr>
          <w:iCs/>
          <w:i/>
        </w:rPr>
        <w:t xml:space="preserve">n</w:t>
      </w:r>
      <w:r>
        <w:t xml:space="preserve"> </w:t>
      </w:r>
      <w:r>
        <w:t xml:space="preserve">= 118), care coordination (</w:t>
      </w:r>
      <w:r>
        <w:rPr>
          <w:iCs/>
          <w:i/>
        </w:rPr>
        <w:t xml:space="preserve">n</w:t>
      </w:r>
      <w:r>
        <w:t xml:space="preserve"> </w:t>
      </w:r>
      <w:r>
        <w:t xml:space="preserve">= 113), emotional support (</w:t>
      </w:r>
      <w:r>
        <w:rPr>
          <w:iCs/>
          <w:i/>
        </w:rPr>
        <w:t xml:space="preserve">n</w:t>
      </w:r>
      <w:r>
        <w:t xml:space="preserve"> </w:t>
      </w:r>
      <w:r>
        <w:t xml:space="preserve">= 98), postnatal mental health (</w:t>
      </w:r>
      <w:r>
        <w:rPr>
          <w:iCs/>
          <w:i/>
        </w:rPr>
        <w:t xml:space="preserve">n</w:t>
      </w:r>
      <w:r>
        <w:t xml:space="preserve"> </w:t>
      </w:r>
      <w:r>
        <w:t xml:space="preserve">= 76), communication (</w:t>
      </w:r>
      <w:r>
        <w:rPr>
          <w:iCs/>
          <w:i/>
        </w:rPr>
        <w:t xml:space="preserve">n</w:t>
      </w:r>
      <w:r>
        <w:t xml:space="preserve"> </w:t>
      </w:r>
      <w:r>
        <w:t xml:space="preserve">= 47).</w:t>
      </w:r>
    </w:p>
    <w:p>
      <w:pPr>
        <w:pStyle w:val="BodyText"/>
      </w:pPr>
      <w:r>
        <w:rPr>
          <w:bCs/>
          <w:b/>
        </w:rPr>
        <w:t xml:space="preserve">Table 7.</w:t>
      </w:r>
      <w:r>
        <w:t xml:space="preserve"> </w:t>
      </w:r>
      <w:r>
        <w:t xml:space="preserve">Innovation opportunities by category.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Share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Digital Tools</w:t>
            </w:r>
          </w:p>
        </w:tc>
        <w:tc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p>
            <w:pPr>
              <w:pStyle w:val="Compact"/>
              <w:jc w:val="left"/>
            </w:pPr>
            <w:r>
              <w:t xml:space="preserve">20.2%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 Coordination</w:t>
            </w:r>
          </w:p>
        </w:tc>
        <w:tc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p>
            <w:pPr>
              <w:pStyle w:val="Compact"/>
              <w:jc w:val="left"/>
            </w:pPr>
            <w:r>
              <w:t xml:space="preserve">19.3%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Support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16.8%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Postnatal Mental Health</w:t>
            </w:r>
          </w:p>
        </w:tc>
        <w:tc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p>
            <w:pPr>
              <w:pStyle w:val="Compact"/>
              <w:jc w:val="left"/>
            </w:pPr>
            <w:r>
              <w:t xml:space="preserve">13.0%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8.0%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Decision Making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Quality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Accessibility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Continuity Of Care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 Environment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Dignity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Cultural Sensitivity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Involvement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 Access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Competence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Breastfeeding Support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0.2%</w:t>
            </w:r>
          </w:p>
        </w:tc>
      </w:tr>
    </w:tbl>
    <w:p>
      <w:pPr>
        <w:pStyle w:val="BodyText"/>
      </w:pPr>
      <w:r>
        <w:t xml:space="preserve">Digital tools and care coordination together accounted for</w:t>
      </w:r>
      <w:r>
        <w:t xml:space="preserve"> </w:t>
      </w:r>
      <w:r>
        <w:t xml:space="preserve">39.6%</w:t>
      </w:r>
      <w:r>
        <w:t xml:space="preserve"> </w:t>
      </w:r>
      <w:r>
        <w:t xml:space="preserve">of all identified innovations, suggesting that technology-mediated service</w:t>
      </w:r>
      <w:r>
        <w:t xml:space="preserve"> </w:t>
      </w:r>
      <w:r>
        <w:t xml:space="preserve">improvements represent the primary opportunity space perceived by synthetic</w:t>
      </w:r>
      <w:r>
        <w:t xml:space="preserve"> </w:t>
      </w:r>
      <w:r>
        <w:t xml:space="preserve">personas. Emotional support innovations (</w:t>
      </w:r>
      <w:r>
        <w:rPr>
          <w:iCs/>
          <w:i/>
        </w:rPr>
        <w:t xml:space="preserve">n</w:t>
      </w:r>
      <w:r>
        <w:t xml:space="preserve"> </w:t>
      </w:r>
      <w:r>
        <w:t xml:space="preserve">= 98)</w:t>
      </w:r>
      <w:r>
        <w:t xml:space="preserve"> </w:t>
      </w:r>
      <w:r>
        <w:t xml:space="preserve">constituted the third-largest category, reinforcing the gap analysis findings</w:t>
      </w:r>
      <w:r>
        <w:t xml:space="preserve"> </w:t>
      </w:r>
      <w:r>
        <w:t xml:space="preserve">in Section 5.5.</w:t>
      </w:r>
    </w:p>
    <w:bookmarkEnd w:id="25"/>
    <w:bookmarkStart w:id="26" w:name="iterative-refinement-v4-to-v4_r1"/>
    <w:p>
      <w:pPr>
        <w:pStyle w:val="Heading3"/>
      </w:pPr>
      <w:r>
        <w:t xml:space="preserve">5.7 Iterative Refinement (V4 to V4_R1)</w:t>
      </w:r>
    </w:p>
    <w:p>
      <w:pPr>
        <w:pStyle w:val="FirstParagraph"/>
      </w:pPr>
      <w:r>
        <w:t xml:space="preserve">Following selection of V4 as the winning instrument, a refinement cycle was</w:t>
      </w:r>
      <w:r>
        <w:t xml:space="preserve"> </w:t>
      </w:r>
      <w:r>
        <w:t xml:space="preserve">conducted. The refined instrument (V4_R1) was administered to 50 additional</w:t>
      </w:r>
      <w:r>
        <w:t xml:space="preserve"> </w:t>
      </w:r>
      <w:r>
        <w:t xml:space="preserve">personas, generating 1,253 scored responses. Refinement targeted 7</w:t>
      </w:r>
      <w:r>
        <w:t xml:space="preserve"> </w:t>
      </w:r>
      <w:r>
        <w:t xml:space="preserve">identified blind spots through question rewording, probe additions, and</w:t>
      </w:r>
      <w:r>
        <w:t xml:space="preserve"> </w:t>
      </w:r>
      <w:r>
        <w:t xml:space="preserve">structural modifications (38 changes applied).</w:t>
      </w:r>
    </w:p>
    <w:p>
      <w:pPr>
        <w:pStyle w:val="BodyText"/>
      </w:pPr>
      <w:r>
        <w:t xml:space="preserve">The refined instrument demonstrated substantial improvement across all metrics: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Composite richness:</w:t>
      </w:r>
      <w:r>
        <w:t xml:space="preserve"> </w:t>
      </w:r>
      <w:r>
        <w:t xml:space="preserve">V4_R1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= 4.09 vs. V4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= 2.99</w:t>
      </w:r>
      <w:r>
        <w:t xml:space="preserve"> </w:t>
      </w:r>
      <w:r>
        <w:t xml:space="preserve">(+36.9%)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Surfacing rate:</w:t>
      </w:r>
      <w:r>
        <w:t xml:space="preserve"> </w:t>
      </w:r>
      <w:r>
        <w:t xml:space="preserve">V4_R1 = 98.9% vs. V4 = 80.7%</w:t>
      </w:r>
      <w:r>
        <w:t xml:space="preserve"> </w:t>
      </w:r>
      <w:r>
        <w:t xml:space="preserve">(+22.5%)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Blind spots resolved:</w:t>
      </w:r>
      <w:r>
        <w:t xml:space="preserve"> </w:t>
      </w:r>
      <w:r>
        <w:t xml:space="preserve">5 of 7 (2 remaining)</w:t>
      </w:r>
    </w:p>
    <w:p>
      <w:pPr>
        <w:pStyle w:val="FirstParagraph"/>
      </w:pPr>
      <w:r>
        <w:t xml:space="preserve">Per-dimension scores for the refined instrument were: emotional depth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4.48), specificity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3.87), latent surfacing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4.43), narrative quality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4.20), and clinical grounding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3.49).</w:t>
      </w:r>
    </w:p>
    <w:p>
      <w:pPr>
        <w:pStyle w:val="BodyText"/>
      </w:pPr>
      <w:r>
        <w:t xml:space="preserve">The improvement magnitude (+36.9% composite richness) confirmed</w:t>
      </w:r>
      <w:r>
        <w:t xml:space="preserve"> </w:t>
      </w:r>
      <w:r>
        <w:t xml:space="preserve">that data-driven instrument refinement, guided by blind-spot diagnostics and</w:t>
      </w:r>
      <w:r>
        <w:t xml:space="preserve"> </w:t>
      </w:r>
      <w:r>
        <w:t xml:space="preserve">quality scoring feedback, can meaningfully enhance questionnaire performance</w:t>
      </w:r>
      <w:r>
        <w:t xml:space="preserve"> </w:t>
      </w:r>
      <w:r>
        <w:t xml:space="preserve">within a single iteration cycle.</w:t>
      </w:r>
    </w:p>
    <w:bookmarkEnd w:id="26"/>
    <w:bookmarkStart w:id="27" w:name="saturation-analysis"/>
    <w:p>
      <w:pPr>
        <w:pStyle w:val="Heading3"/>
      </w:pPr>
      <w:r>
        <w:t xml:space="preserve">5.8 Saturation Analysis</w:t>
      </w:r>
    </w:p>
    <w:p>
      <w:pPr>
        <w:pStyle w:val="FirstParagraph"/>
      </w:pPr>
      <w:r>
        <w:t xml:space="preserve">Thematic saturation was assessed across 110 transcripts (60 original V4, 50</w:t>
      </w:r>
      <w:r>
        <w:t xml:space="preserve"> </w:t>
      </w:r>
      <w:r>
        <w:t xml:space="preserve">refined V4_R1) using cumulative theme accumulation curves and rolling marginal</w:t>
      </w:r>
      <w:r>
        <w:t xml:space="preserve"> </w:t>
      </w:r>
      <w:r>
        <w:t xml:space="preserve">yield analysis with a window of 5 transcripts and a plateau threshold of 2 new</w:t>
      </w:r>
      <w:r>
        <w:t xml:space="preserve"> </w:t>
      </w:r>
      <w:r>
        <w:t xml:space="preserve">themes per transcript over 5 consecutive transcripts.</w:t>
      </w:r>
    </w:p>
    <w:p>
      <w:pPr>
        <w:pStyle w:val="BodyText"/>
      </w:pPr>
      <w:r>
        <w:t xml:space="preserve">A total of 3,925 unique thematic codes were identified. The cumulative theme</w:t>
      </w:r>
      <w:r>
        <w:t xml:space="preserve"> </w:t>
      </w:r>
      <w:r>
        <w:t xml:space="preserve">curve followed a power-law trajectory (</w:t>
      </w:r>
      <w:r>
        <w:rPr>
          <w:iCs/>
          <w:i/>
        </w:rPr>
        <w:t xml:space="preserve">R</w:t>
      </w:r>
      <w:r>
        <w:t xml:space="preserve">^2 = 0.992), with the best-fit</w:t>
      </w:r>
      <w:r>
        <w:t xml:space="preserve"> </w:t>
      </w:r>
      <w:r>
        <w:t xml:space="preserve">equation</w:t>
      </w:r>
      <w:r>
        <w:t xml:space="preserve"> </w:t>
      </w:r>
      <w:r>
        <w:rPr>
          <w:iCs/>
          <w:i/>
        </w:rPr>
        <w:t xml:space="preserve">y</w:t>
      </w:r>
      <w:r>
        <w:t xml:space="preserve"> </w:t>
      </w:r>
      <w:r>
        <w:t xml:space="preserve">= 52.2</w:t>
      </w:r>
      <w:r>
        <w:t xml:space="preserve"> </w:t>
      </w:r>
      <w:r>
        <w:rPr>
          <w:iCs/>
          <w:i/>
        </w:rPr>
        <w:t xml:space="preserve">x</w:t>
      </w:r>
      <w:r>
        <w:t xml:space="preserve">^0.892. The near-unity exponent (0.892) indicated</w:t>
      </w:r>
      <w:r>
        <w:t xml:space="preserve"> </w:t>
      </w:r>
      <w:r>
        <w:t xml:space="preserve">near-linear theme accumulation, meaning practical saturation was not foreseeable</w:t>
      </w:r>
      <w:r>
        <w:t xml:space="preserve"> </w:t>
      </w:r>
      <w:r>
        <w:t xml:space="preserve">within feasible sample sizes (Table 8, Figure 6).</w:t>
      </w:r>
    </w:p>
    <w:p>
      <w:pPr>
        <w:pStyle w:val="BodyText"/>
      </w:pPr>
      <w:r>
        <w:rPr>
          <w:bCs/>
          <w:b/>
        </w:rPr>
        <w:t xml:space="preserve">Table 8.</w:t>
      </w:r>
      <w:r>
        <w:t xml:space="preserve"> </w:t>
      </w:r>
      <w:r>
        <w:t xml:space="preserve">Saturation analysis summary.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 (V4)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 (V4_R1)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3,925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2,108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1,817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Best-fit model (original)</w:t>
            </w:r>
          </w:p>
        </w:tc>
        <w:tc>
          <w:p>
            <w:pPr>
              <w:pStyle w:val="Compact"/>
              <w:jc w:val="left"/>
            </w:pPr>
            <w:r>
              <w:t xml:space="preserve">Power law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</w:t>
            </w:r>
            <w:r>
              <w:t xml:space="preserve">^2</w:t>
            </w:r>
          </w:p>
        </w:tc>
        <w:tc>
          <w:p>
            <w:pPr>
              <w:pStyle w:val="Compact"/>
              <w:jc w:val="left"/>
            </w:pPr>
            <w:r>
              <w:t xml:space="preserve">0.992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mean yield</w:t>
            </w:r>
          </w:p>
        </w:tc>
        <w:tc>
          <w:p>
            <w:pPr>
              <w:pStyle w:val="Compact"/>
              <w:jc w:val="left"/>
            </w:pPr>
            <w:r>
              <w:t xml:space="preserve">35.1 themes/transcript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mean yield</w:t>
            </w:r>
          </w:p>
        </w:tc>
        <w:tc>
          <w:p>
            <w:pPr>
              <w:pStyle w:val="Compact"/>
              <w:jc w:val="left"/>
            </w:pPr>
            <w:r>
              <w:t xml:space="preserve">36.3 themes/transcript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Mann–Whitney</w:t>
            </w:r>
            <w:r>
              <w:t xml:space="preserve"> </w:t>
            </w:r>
            <w:r>
              <w:rPr>
                <w:iCs/>
                <w:i/>
              </w:rP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1,427.0 (</w:t>
            </w:r>
            <w:r>
              <w:rPr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= 0.663)</w:t>
            </w:r>
          </w:p>
        </w:tc>
      </w:tr>
    </w:tbl>
    <w:p>
      <w:pPr>
        <w:pStyle w:val="BodyText"/>
      </w:pPr>
      <w:r>
        <w:t xml:space="preserve">The refinement round introduced 1,817 themes not observed in the original 2,108</w:t>
      </w:r>
      <w:r>
        <w:t xml:space="preserve"> </w:t>
      </w:r>
      <w:r>
        <w:t xml:space="preserve">themes, representing a 46.3% novelty rate. A Mann–Whitney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test confirmed</w:t>
      </w:r>
      <w:r>
        <w:t xml:space="preserve"> </w:t>
      </w:r>
      <w:r>
        <w:t xml:space="preserve">no significant difference in per-transcript yield between original and refinement</w:t>
      </w:r>
      <w:r>
        <w:t xml:space="preserve"> </w:t>
      </w:r>
      <w:r>
        <w:t xml:space="preserve">corpora (</w:t>
      </w:r>
      <w:r>
        <w:rPr>
          <w:iCs/>
          <w:i/>
        </w:rPr>
        <w:t xml:space="preserve">U</w:t>
      </w:r>
      <w:r>
        <w:t xml:space="preserve"> </w:t>
      </w:r>
      <w:r>
        <w:t xml:space="preserve">= 1,427.0,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0.663), indicating that the refined instrument</w:t>
      </w:r>
      <w:r>
        <w:t xml:space="preserve"> </w:t>
      </w:r>
      <w:r>
        <w:t xml:space="preserve">maintained generative capacity without diminishing returns.</w:t>
      </w:r>
    </w:p>
    <w:p>
      <w:pPr>
        <w:pStyle w:val="BodyText"/>
      </w:pPr>
      <w:r>
        <w:t xml:space="preserve">Per-category saturation was reached for structured categories: latent dimensions</w:t>
      </w:r>
      <w:r>
        <w:t xml:space="preserve"> </w:t>
      </w:r>
      <w:r>
        <w:t xml:space="preserve">(14 unique, plateau at transcript 4), KBV dimensions (6 unique, plateau at</w:t>
      </w:r>
      <w:r>
        <w:t xml:space="preserve"> </w:t>
      </w:r>
      <w:r>
        <w:t xml:space="preserve">transcript 4), service gaps (14 unique, plateau at transcript 5), and innovation</w:t>
      </w:r>
      <w:r>
        <w:t xml:space="preserve"> </w:t>
      </w:r>
      <w:r>
        <w:t xml:space="preserve">opportunities (17 unique, plateau at transcript 5). However, thematic areas</w:t>
      </w:r>
      <w:r>
        <w:t xml:space="preserve"> </w:t>
      </w:r>
      <w:r>
        <w:t xml:space="preserve">(3,874 unique codes) showed no plateau, confirming an open thematic space</w:t>
      </w:r>
      <w:r>
        <w:t xml:space="preserve"> </w:t>
      </w:r>
      <w:r>
        <w:t xml:space="preserve">consistent with the power-law accumulation pattern.</w:t>
      </w:r>
    </w:p>
    <w:p>
      <w:pPr>
        <w:pStyle w:val="BodyText"/>
      </w:pPr>
      <w:r>
        <w:t xml:space="preserve">These findings are consistent with qualitative research literature suggesting</w:t>
      </w:r>
      <w:r>
        <w:t xml:space="preserve"> </w:t>
      </w:r>
      <w:r>
        <w:t xml:space="preserve">that thematic saturation is instrument-dependent and that changing the instrument</w:t>
      </w:r>
      <w:r>
        <w:t xml:space="preserve"> </w:t>
      </w:r>
      <w:r>
        <w:t xml:space="preserve">can reopen the thematic space (Hennink et al., 2017; Saunders et al., 2018).</w:t>
      </w:r>
    </w:p>
    <w:bookmarkEnd w:id="27"/>
    <w:bookmarkStart w:id="28" w:name="robustness-testing"/>
    <w:p>
      <w:pPr>
        <w:pStyle w:val="Heading3"/>
      </w:pPr>
      <w:r>
        <w:t xml:space="preserve">5.9 Robustness Testing</w:t>
      </w:r>
    </w:p>
    <w:p>
      <w:pPr>
        <w:pStyle w:val="FirstParagraph"/>
      </w:pPr>
      <w:r>
        <w:t xml:space="preserve">Adversarial robustness testing evaluated the refined instrument (V4_R1) against</w:t>
      </w:r>
      <w:r>
        <w:t xml:space="preserve"> </w:t>
      </w:r>
      <w:r>
        <w:t xml:space="preserve">five vulnerable population profiles designed to stress-test instrument</w:t>
      </w:r>
      <w:r>
        <w:t xml:space="preserve"> </w:t>
      </w:r>
      <w:r>
        <w:t xml:space="preserve">performance under challenging interview conditions. The pass threshold was</w:t>
      </w:r>
      <w:r>
        <w:t xml:space="preserve"> </w:t>
      </w:r>
      <w:r>
        <w:t xml:space="preserve">defined as composite richness exceeding 50% of the population mean (i.e.,</w:t>
      </w:r>
      <w:r>
        <w:t xml:space="preserve"> </w:t>
      </w:r>
      <w:r>
        <w:t xml:space="preserve">richness &gt; 2.04).</w:t>
      </w:r>
    </w:p>
    <w:p>
      <w:pPr>
        <w:pStyle w:val="BodyText"/>
      </w:pPr>
      <w:r>
        <w:t xml:space="preserve">All five adversarial profiles exceeded the threshold, yielding an overall</w:t>
      </w:r>
      <w:r>
        <w:t xml:space="preserve"> </w:t>
      </w:r>
      <w:r>
        <w:t xml:space="preserve">verdict of</w:t>
      </w:r>
      <w:r>
        <w:t xml:space="preserve"> </w:t>
      </w:r>
      <w:r>
        <w:t xml:space="preserve">“</w:t>
      </w:r>
      <w:r>
        <w:t xml:space="preserve">Robust across vulnerable populations</w:t>
      </w:r>
      <w:r>
        <w:t xml:space="preserve">”</w:t>
      </w:r>
      <w:r>
        <w:t xml:space="preserve"> </w:t>
      </w:r>
      <w:r>
        <w:t xml:space="preserve">(Table 9).</w:t>
      </w:r>
    </w:p>
    <w:p>
      <w:pPr>
        <w:pStyle w:val="BodyText"/>
      </w:pPr>
      <w:r>
        <w:rPr>
          <w:bCs/>
          <w:b/>
        </w:rPr>
        <w:t xml:space="preserve">Table 9.</w:t>
      </w:r>
      <w:r>
        <w:t xml:space="preserve"> </w:t>
      </w:r>
      <w:r>
        <w:t xml:space="preserve">Adversarial robustness testing results.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p>
            <w:pPr>
              <w:pStyle w:val="Compact"/>
              <w:jc w:val="left"/>
            </w:pPr>
            <w:r>
              <w:t xml:space="preserve">Richness</w:t>
            </w:r>
          </w:p>
        </w:tc>
        <w:tc>
          <w:p>
            <w:pPr>
              <w:pStyle w:val="Compact"/>
              <w:jc w:val="left"/>
            </w:pPr>
            <w:r>
              <w:t xml:space="preserve">Pop. Mean</w:t>
            </w:r>
          </w:p>
        </w:tc>
        <w:tc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Health Literacy</w:t>
            </w:r>
          </w:p>
        </w:tc>
        <w:tc>
          <w:p>
            <w:pPr>
              <w:pStyle w:val="Compact"/>
              <w:jc w:val="left"/>
            </w:pPr>
            <w:r>
              <w:t xml:space="preserve">Destiny Marlowe</w:t>
            </w:r>
          </w:p>
        </w:tc>
        <w:tc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Barrier</w:t>
            </w:r>
          </w:p>
        </w:tc>
        <w:tc>
          <w:p>
            <w:pPr>
              <w:pStyle w:val="Compact"/>
              <w:jc w:val="left"/>
            </w:pPr>
            <w:r>
              <w:t xml:space="preserve">Mei-Ling Vasquez</w:t>
            </w:r>
          </w:p>
        </w:tc>
        <w:tc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Hostile/Distrustful</w:t>
            </w:r>
          </w:p>
        </w:tc>
        <w:tc>
          <w:p>
            <w:pPr>
              <w:pStyle w:val="Compact"/>
              <w:jc w:val="left"/>
            </w:pPr>
            <w:r>
              <w:t xml:space="preserve">Renee Thibodeau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86%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Rural Isolated</w:t>
            </w:r>
          </w:p>
        </w:tc>
        <w:tc>
          <w:p>
            <w:pPr>
              <w:pStyle w:val="Compact"/>
              <w:jc w:val="left"/>
            </w:pPr>
            <w:r>
              <w:t xml:space="preserve">Darlene Hutchins</w:t>
            </w:r>
          </w:p>
        </w:tc>
        <w:tc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 Pregnancy Ambivalent</w:t>
            </w:r>
          </w:p>
        </w:tc>
        <w:tc>
          <w:p>
            <w:pPr>
              <w:pStyle w:val="Compact"/>
              <w:jc w:val="left"/>
            </w:pPr>
            <w:r>
              <w:t xml:space="preserve">Danielle Okafor</w:t>
            </w:r>
          </w:p>
        </w:tc>
        <w:tc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adversarial mean richness was 3.35, representing 82% of the population</w:t>
      </w:r>
      <w:r>
        <w:t xml:space="preserve"> </w:t>
      </w:r>
      <w:r>
        <w:t xml:space="preserve">mean (4.09). The rural isolated profile achieved the highest adversarial</w:t>
      </w:r>
      <w:r>
        <w:t xml:space="preserve"> </w:t>
      </w:r>
      <w:r>
        <w:t xml:space="preserve">richness (3.76, 92% of population), while the language barrier and early</w:t>
      </w:r>
      <w:r>
        <w:t xml:space="preserve"> </w:t>
      </w:r>
      <w:r>
        <w:t xml:space="preserve">pregnancy ambivalent profiles showed the largest performance decrements (74%</w:t>
      </w:r>
      <w:r>
        <w:t xml:space="preserve"> </w:t>
      </w:r>
      <w:r>
        <w:t xml:space="preserve">of population), identifying these as areas warranting further instrument</w:t>
      </w:r>
      <w:r>
        <w:t xml:space="preserve"> </w:t>
      </w:r>
      <w:r>
        <w:t xml:space="preserve">refinement in future iterations.</w:t>
      </w:r>
    </w:p>
    <w:p>
      <w:pPr>
        <w:pStyle w:val="BodyText"/>
      </w:pPr>
      <w:r>
        <w:t xml:space="preserve">All five dimensions maintained adequate scores across adversarial profiles,</w:t>
      </w:r>
      <w:r>
        <w:t xml:space="preserve"> </w:t>
      </w:r>
      <w:r>
        <w:t xml:space="preserve">with latent surfacing consistently scoring highest (range: 3.56–4.50) and</w:t>
      </w:r>
      <w:r>
        <w:t xml:space="preserve"> </w:t>
      </w:r>
      <w:r>
        <w:t xml:space="preserve">clinical grounding lowest (range: 2.31–3.56), mirroring the pattern observed</w:t>
      </w:r>
      <w:r>
        <w:t xml:space="preserve"> </w:t>
      </w:r>
      <w:r>
        <w:t xml:space="preserve">in the main corpus.</w:t>
      </w:r>
    </w:p>
    <w:bookmarkEnd w:id="28"/>
    <w:bookmarkStart w:id="29" w:name="inter-rater-reliability"/>
    <w:p>
      <w:pPr>
        <w:pStyle w:val="Heading3"/>
      </w:pPr>
      <w:r>
        <w:t xml:space="preserve">5.10 Inter-Rater Reliability</w:t>
      </w:r>
    </w:p>
    <w:p>
      <w:pPr>
        <w:pStyle w:val="FirstParagraph"/>
      </w:pPr>
      <w:r>
        <w:t xml:space="preserve">Inter-rater reliability was assessed using 30 transcripts scored</w:t>
      </w:r>
      <w:r>
        <w:t xml:space="preserve"> </w:t>
      </w:r>
      <w:r>
        <w:t xml:space="preserve">independently by three LLM providers (Anthropic, Google, OpenAI), employing</w:t>
      </w:r>
      <w:r>
        <w:t xml:space="preserve"> </w:t>
      </w:r>
      <w:r>
        <w:t xml:space="preserve">an ICC(2,1) two-way random effects model. The composite richness ICC was</w:t>
      </w:r>
      <w:r>
        <w:t xml:space="preserve"> </w:t>
      </w:r>
      <w:r>
        <w:t xml:space="preserve">0.903, indicating excellent agreement (Table 4).</w:t>
      </w:r>
    </w:p>
    <w:p>
      <w:pPr>
        <w:pStyle w:val="BodyText"/>
      </w:pPr>
      <w:r>
        <w:rPr>
          <w:bCs/>
          <w:b/>
        </w:rPr>
        <w:t xml:space="preserve">Table 4.</w:t>
      </w:r>
      <w:r>
        <w:t xml:space="preserve"> </w:t>
      </w:r>
      <w:r>
        <w:t xml:space="preserve">Inter-rater reliability across scoring dimensions.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Krippendorff’s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All individual dimensions achieved excellent agreement (ICC &gt;= 0.846), with</w:t>
      </w:r>
      <w:r>
        <w:t xml:space="preserve"> </w:t>
      </w:r>
      <w:r>
        <w:t xml:space="preserve">latent surfacing showing the highest concordance (ICC = 0.910) and narrative</w:t>
      </w:r>
      <w:r>
        <w:t xml:space="preserve"> </w:t>
      </w:r>
      <w:r>
        <w:t xml:space="preserve">quality the lowest (ICC = 0.846). Krippendorff’s alpha values closely tracked</w:t>
      </w:r>
      <w:r>
        <w:t xml:space="preserve"> </w:t>
      </w:r>
      <w:r>
        <w:t xml:space="preserve">ICC estimates across all dimensions (range: 0.842–0.908), providing convergent</w:t>
      </w:r>
      <w:r>
        <w:t xml:space="preserve"> </w:t>
      </w:r>
      <w:r>
        <w:t xml:space="preserve">evidence of measurement consistency.</w:t>
      </w:r>
    </w:p>
    <w:p>
      <w:pPr>
        <w:pStyle w:val="BodyText"/>
      </w:pPr>
      <w:r>
        <w:t xml:space="preserve">These results support the validity of using LLM-as-judge methodology for</w:t>
      </w:r>
      <w:r>
        <w:t xml:space="preserve"> </w:t>
      </w:r>
      <w:r>
        <w:t xml:space="preserve">quality assessment, provided that multi-provider triangulation is employed</w:t>
      </w:r>
      <w:r>
        <w:t xml:space="preserve"> </w:t>
      </w:r>
      <w:r>
        <w:t xml:space="preserve">to mitigate single-model scoring biases.</w:t>
      </w:r>
    </w:p>
    <w:bookmarkEnd w:id="29"/>
    <w:bookmarkStart w:id="30" w:name="version-ranking"/>
    <w:p>
      <w:pPr>
        <w:pStyle w:val="Heading3"/>
      </w:pPr>
      <w:r>
        <w:t xml:space="preserve">5.11 Version Ranking</w:t>
      </w:r>
    </w:p>
    <w:p>
      <w:pPr>
        <w:pStyle w:val="FirstParagraph"/>
      </w:pPr>
      <w:r>
        <w:t xml:space="preserve">A weighted composite score was computed for each version using quality (40%),</w:t>
      </w:r>
      <w:r>
        <w:t xml:space="preserve"> </w:t>
      </w:r>
      <w:r>
        <w:t xml:space="preserve">coverage (25%), innovation (20%), and breadth (15%) weights. V4 ranked</w:t>
      </w:r>
      <w:r>
        <w:t xml:space="preserve"> </w:t>
      </w:r>
      <w:r>
        <w:t xml:space="preserve">first with a composite score of 2.706, followed by V5</w:t>
      </w:r>
      <w:r>
        <w:t xml:space="preserve"> </w:t>
      </w:r>
      <w:r>
        <w:t xml:space="preserve">(2.565), representing a 5.5% advantage (Table 10).</w:t>
      </w:r>
    </w:p>
    <w:p>
      <w:pPr>
        <w:pStyle w:val="BodyText"/>
      </w:pPr>
      <w:r>
        <w:rPr>
          <w:bCs/>
          <w:b/>
        </w:rPr>
        <w:t xml:space="preserve">Table 10.</w:t>
      </w:r>
      <w:r>
        <w:t xml:space="preserve"> </w:t>
      </w:r>
      <w:r>
        <w:t xml:space="preserve">Version ranking by weighted composite score.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p>
            <w:pPr>
              <w:pStyle w:val="Compact"/>
              <w:jc w:val="left"/>
            </w:pPr>
            <w:r>
              <w:t xml:space="preserve">Composite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p>
            <w:pPr>
              <w:pStyle w:val="Compact"/>
              <w:jc w:val="left"/>
            </w:pPr>
            <w:r>
              <w:t xml:space="preserve">2.706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p>
            <w:pPr>
              <w:pStyle w:val="Compact"/>
              <w:jc w:val="left"/>
            </w:pPr>
            <w:r>
              <w:t xml:space="preserve">0.319</w:t>
            </w:r>
          </w:p>
        </w:tc>
        <w:tc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p>
            <w:pPr>
              <w:pStyle w:val="Compact"/>
              <w:jc w:val="left"/>
            </w:pPr>
            <w:r>
              <w:t xml:space="preserve">2.565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p>
            <w:pPr>
              <w:pStyle w:val="Compact"/>
              <w:jc w:val="left"/>
            </w:pPr>
            <w:r>
              <w:t xml:space="preserve">2.542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p>
            <w:pPr>
              <w:pStyle w:val="Compact"/>
              <w:jc w:val="left"/>
            </w:pPr>
            <w:r>
              <w:t xml:space="preserve">0.310</w:t>
            </w:r>
          </w:p>
        </w:tc>
        <w:tc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p>
            <w:pPr>
              <w:pStyle w:val="Compact"/>
              <w:jc w:val="left"/>
            </w:pPr>
            <w:r>
              <w:t xml:space="preserve">2.403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p>
            <w:pPr>
              <w:pStyle w:val="Compact"/>
              <w:jc w:val="left"/>
            </w:pPr>
            <w:r>
              <w:t xml:space="preserve">3.22</w:t>
            </w:r>
          </w:p>
        </w:tc>
        <w:tc>
          <w:p>
            <w:pPr>
              <w:pStyle w:val="Compact"/>
              <w:jc w:val="left"/>
            </w:pPr>
            <w:r>
              <w:t xml:space="preserve">2.226</w:t>
            </w:r>
          </w:p>
        </w:tc>
      </w:tr>
    </w:tbl>
    <w:p>
      <w:pPr>
        <w:pStyle w:val="BodyText"/>
      </w:pPr>
      <w:r>
        <w:t xml:space="preserve">V4 was selected as the winning instrument based on this composite ranking.</w:t>
      </w:r>
      <w:r>
        <w:t xml:space="preserve"> </w:t>
      </w:r>
      <w:r>
        <w:t xml:space="preserve">Its advantage was driven primarily by superior performance on quality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2.99) and innovation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3.87) scores, while</w:t>
      </w:r>
      <w:r>
        <w:t xml:space="preserve"> </w:t>
      </w:r>
      <w:r>
        <w:t xml:space="preserve">coverage scores were broadly comparable across versions (range: 0.274–0.339).</w:t>
      </w:r>
      <w:r>
        <w:t xml:space="preserve"> </w:t>
      </w:r>
      <w:r>
        <w:t xml:space="preserve">The V4 instrument employed an Expectation–Perception Gap interview</w:t>
      </w:r>
      <w:r>
        <w:t xml:space="preserve"> </w:t>
      </w:r>
      <w:r>
        <w:t xml:space="preserve">strategy, which elicited richer responses by explicitly probing the distance</w:t>
      </w:r>
      <w:r>
        <w:t xml:space="preserve"> </w:t>
      </w:r>
      <w:r>
        <w:t xml:space="preserve">between expected and received care experiences.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Section generated by results_writer.py — no LLM calls.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2026-03-20T10:52:50Z</dcterms:created>
  <dcterms:modified xsi:type="dcterms:W3CDTF">2026-03-20T10:52:50Z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