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This section interprets the findings presented in Section 5, situating them</w:t>
      </w:r>
      <w:r>
        <w:t xml:space="preserve"> </w:t>
      </w:r>
      <w:r>
        <w:t xml:space="preserve">within the theoretical framework of knowledge-based view (KBV) theory and</w:t>
      </w:r>
      <w:r>
        <w:t xml:space="preserve"> </w:t>
      </w:r>
      <w:r>
        <w:t xml:space="preserve">addressing the three research questions. Methodological, managerial, and</w:t>
      </w:r>
      <w:r>
        <w:t xml:space="preserve"> </w:t>
      </w:r>
      <w:r>
        <w:t xml:space="preserve">theoretical implications are discussed, followed by limitations and directions</w:t>
      </w:r>
      <w:r>
        <w:t xml:space="preserve"> </w:t>
      </w:r>
      <w:r>
        <w:t xml:space="preserve">for future research.</w:t>
      </w:r>
    </w:p>
    <w:bookmarkStart w:id="22" w:name="theoretical-implications"/>
    <w:p>
      <w:pPr>
        <w:pStyle w:val="Heading3"/>
      </w:pPr>
      <w:r>
        <w:t xml:space="preserve">6.1 Theoretical Implications</w:t>
      </w:r>
    </w:p>
    <w:bookmarkStart w:id="20" w:name="knowledge-based-view-kbv-theory"/>
    <w:p>
      <w:pPr>
        <w:pStyle w:val="Heading4"/>
      </w:pPr>
      <w:r>
        <w:t xml:space="preserve">Knowledge-Based View (KBV) Theory</w:t>
      </w:r>
    </w:p>
    <w:p>
      <w:pPr>
        <w:numPr>
          <w:ilvl w:val="0"/>
          <w:numId w:val="1001"/>
        </w:numPr>
        <w:pStyle w:val="Compact"/>
      </w:pPr>
      <w:r>
        <w:t xml:space="preserve">The study demonstrates that AI-enabled synthetic user research can function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micro-capability</w:t>
      </w:r>
      <w:r>
        <w:t xml:space="preserve"> </w:t>
      </w:r>
      <w:r>
        <w:t xml:space="preserve">within the knowledge-based view of the firm</w:t>
      </w:r>
      <w:r>
        <w:t xml:space="preserve"> </w:t>
      </w:r>
      <w:r>
        <w:t xml:space="preserve">(Grant, 1996; Kogut &amp; Zander, 1992).</w:t>
      </w:r>
    </w:p>
    <w:p>
      <w:pPr>
        <w:numPr>
          <w:ilvl w:val="0"/>
          <w:numId w:val="1001"/>
        </w:numPr>
        <w:pStyle w:val="Compact"/>
      </w:pPr>
      <w:r>
        <w:t xml:space="preserve">Composite richness scores (</w:t>
      </w:r>
      <w:r>
        <w:rPr>
          <w:iCs/>
          <w:i/>
        </w:rPr>
        <w:t xml:space="preserve">M</w:t>
      </w:r>
      <w:r>
        <w:t xml:space="preserve"> </w:t>
      </w:r>
      <w:r>
        <w:t xml:space="preserve">= 3.06/5.0) and a mean latent</w:t>
      </w:r>
      <w:r>
        <w:t xml:space="preserve"> </w:t>
      </w:r>
      <w:r>
        <w:t xml:space="preserve">dimension surfacing rate of 72.1% indicate that synthetic</w:t>
      </w:r>
      <w:r>
        <w:t xml:space="preserve"> </w:t>
      </w:r>
      <w:r>
        <w:t xml:space="preserve">personas can surface tacit experiential knowledge that would otherwise remain</w:t>
      </w:r>
      <w:r>
        <w:t xml:space="preserve"> </w:t>
      </w:r>
      <w:r>
        <w:t xml:space="preserve">inaccessible through conventional survey instruments.</w:t>
      </w:r>
    </w:p>
    <w:p>
      <w:pPr>
        <w:numPr>
          <w:ilvl w:val="0"/>
          <w:numId w:val="1001"/>
        </w:numPr>
        <w:pStyle w:val="Compact"/>
      </w:pPr>
      <w:r>
        <w:t xml:space="preserve">The significant version effect (</w:t>
      </w:r>
      <w:r>
        <w:rPr>
          <w:iCs/>
          <w:i/>
        </w:rPr>
        <w:t xml:space="preserve">H</w:t>
      </w:r>
      <w:r>
        <w:t xml:space="preserve"> </w:t>
      </w:r>
      <w:r>
        <w:t xml:space="preserve">= 23.313,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0.001) confirms</w:t>
      </w:r>
      <w:r>
        <w:t xml:space="preserve"> </w:t>
      </w:r>
      <w:r>
        <w:t xml:space="preserve">that instrument design represents a knowledge-extraction capability whose</w:t>
      </w:r>
      <w:r>
        <w:t xml:space="preserve"> </w:t>
      </w:r>
      <w:r>
        <w:t xml:space="preserve">parameters can be optimised through iterative refinement.</w:t>
      </w:r>
    </w:p>
    <w:p>
      <w:pPr>
        <w:pStyle w:val="FirstParagraph"/>
      </w:pPr>
      <w:r>
        <w:t xml:space="preserve">[AUTHOR INPUT NEEDED: Elaborate on how these findings extend KBV theory to</w:t>
      </w:r>
      <w:r>
        <w:t xml:space="preserve"> </w:t>
      </w:r>
      <w:r>
        <w:t xml:space="preserve">encompass AI-generated knowledge assets. Discuss whether synthetic interview</w:t>
      </w:r>
      <w:r>
        <w:t xml:space="preserve"> </w:t>
      </w:r>
      <w:r>
        <w:t xml:space="preserve">data constitutes a form of</w:t>
      </w:r>
      <w:r>
        <w:t xml:space="preserve"> </w:t>
      </w:r>
      <w:r>
        <w:t xml:space="preserve">“</w:t>
      </w:r>
      <w:r>
        <w:t xml:space="preserve">combinative capability</w:t>
      </w:r>
      <w:r>
        <w:t xml:space="preserve">”</w:t>
      </w:r>
      <w:r>
        <w:t xml:space="preserve"> </w:t>
      </w:r>
      <w:r>
        <w:t xml:space="preserve">(Kogut &amp; Zander, 1992)</w:t>
      </w:r>
      <w:r>
        <w:t xml:space="preserve"> </w:t>
      </w:r>
      <w:r>
        <w:t xml:space="preserve">or a novel category of knowledge resource.]</w:t>
      </w:r>
    </w:p>
    <w:bookmarkEnd w:id="20"/>
    <w:bookmarkStart w:id="21" w:name="research-questions"/>
    <w:p>
      <w:pPr>
        <w:pStyle w:val="Heading4"/>
      </w:pPr>
      <w:r>
        <w:t xml:space="preserve">Research Questions</w:t>
      </w:r>
    </w:p>
    <w:p>
      <w:pPr>
        <w:pStyle w:val="FirstParagraph"/>
      </w:pPr>
      <w:r>
        <w:rPr>
          <w:bCs/>
          <w:b/>
        </w:rPr>
        <w:t xml:space="preserve">RQ1 — Can AI-generated synthetic personas produce interview responses of</w:t>
      </w:r>
      <w:r>
        <w:rPr>
          <w:bCs/>
          <w:b/>
        </w:rPr>
        <w:t xml:space="preserve"> </w:t>
      </w:r>
      <w:r>
        <w:rPr>
          <w:bCs/>
          <w:b/>
        </w:rPr>
        <w:t xml:space="preserve">sufficient quality for qualitative analysis?</w:t>
      </w:r>
    </w:p>
    <w:p>
      <w:pPr>
        <w:numPr>
          <w:ilvl w:val="0"/>
          <w:numId w:val="1002"/>
        </w:numPr>
        <w:pStyle w:val="Compact"/>
      </w:pPr>
      <w:r>
        <w:t xml:space="preserve">The evidence supports an affirmative answer. Mean composite richness of</w:t>
      </w:r>
      <w:r>
        <w:t xml:space="preserve"> </w:t>
      </w:r>
      <w:r>
        <w:t xml:space="preserve">3.06/5.0, with emotional depth (</w:t>
      </w:r>
      <w:r>
        <w:rPr>
          <w:iCs/>
          <w:i/>
        </w:rPr>
        <w:t xml:space="preserve">M</w:t>
      </w:r>
      <w:r>
        <w:t xml:space="preserve"> </w:t>
      </w:r>
      <w:r>
        <w:t xml:space="preserve">= 3.32)</w:t>
      </w:r>
      <w:r>
        <w:t xml:space="preserve"> </w:t>
      </w:r>
      <w:r>
        <w:t xml:space="preserve">and latent surfacing (</w:t>
      </w:r>
      <w:r>
        <w:rPr>
          <w:iCs/>
          <w:i/>
        </w:rPr>
        <w:t xml:space="preserve">M</w:t>
      </w:r>
      <w:r>
        <w:t xml:space="preserve"> </w:t>
      </w:r>
      <w:r>
        <w:t xml:space="preserve">= 3.28)</w:t>
      </w:r>
      <w:r>
        <w:t xml:space="preserve"> </w:t>
      </w:r>
      <w:r>
        <w:t xml:space="preserve">both exceeding 3.0/5.0, indicates that synthetic responses achieved</w:t>
      </w:r>
      <w:r>
        <w:t xml:space="preserve"> </w:t>
      </w:r>
      <w:r>
        <w:t xml:space="preserve">moderate-to-good qualitative richness.</w:t>
      </w:r>
    </w:p>
    <w:p>
      <w:pPr>
        <w:numPr>
          <w:ilvl w:val="0"/>
          <w:numId w:val="1002"/>
        </w:numPr>
        <w:pStyle w:val="Compact"/>
      </w:pPr>
      <w:r>
        <w:t xml:space="preserve">Inter-rater reliability (ICC = 0.903, excellent) confirms measurement validity.</w:t>
      </w:r>
    </w:p>
    <w:p>
      <w:pPr>
        <w:pStyle w:val="FirstParagraph"/>
      </w:pPr>
      <w:r>
        <w:t xml:space="preserve">[AUTHOR INPUT NEEDED: Compare these quality levels to published benchmarks</w:t>
      </w:r>
      <w:r>
        <w:t xml:space="preserve"> </w:t>
      </w:r>
      <w:r>
        <w:t xml:space="preserve">for human interview data quality. Discuss what</w:t>
      </w:r>
      <w:r>
        <w:t xml:space="preserve"> </w:t>
      </w:r>
      <w:r>
        <w:t xml:space="preserve">“</w:t>
      </w:r>
      <w:r>
        <w:t xml:space="preserve">sufficient</w:t>
      </w:r>
      <w:r>
        <w:t xml:space="preserve">”</w:t>
      </w:r>
      <w:r>
        <w:t xml:space="preserve"> </w:t>
      </w:r>
      <w:r>
        <w:t xml:space="preserve">means in context.]</w:t>
      </w:r>
    </w:p>
    <w:p>
      <w:pPr>
        <w:pStyle w:val="BodyText"/>
      </w:pPr>
      <w:r>
        <w:rPr>
          <w:bCs/>
          <w:b/>
        </w:rPr>
        <w:t xml:space="preserve">RQ2 — Does questionnaire design significantly affect the quality of synthetic</w:t>
      </w:r>
      <w:r>
        <w:rPr>
          <w:bCs/>
          <w:b/>
        </w:rPr>
        <w:t xml:space="preserve"> </w:t>
      </w:r>
      <w:r>
        <w:rPr>
          <w:bCs/>
          <w:b/>
        </w:rPr>
        <w:t xml:space="preserve">interview responses?</w:t>
      </w:r>
    </w:p>
    <w:p>
      <w:pPr>
        <w:numPr>
          <w:ilvl w:val="0"/>
          <w:numId w:val="1003"/>
        </w:numPr>
        <w:pStyle w:val="Compact"/>
      </w:pPr>
      <w:r>
        <w:t xml:space="preserve">The Kruskal–Wallis test (</w:t>
      </w:r>
      <w:r>
        <w:rPr>
          <w:iCs/>
          <w:i/>
        </w:rPr>
        <w:t xml:space="preserve">H</w:t>
      </w:r>
      <w:r>
        <w:t xml:space="preserve"> </w:t>
      </w:r>
      <w:r>
        <w:t xml:space="preserve">= 23.313,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= 0.001) confirms</w:t>
      </w:r>
      <w:r>
        <w:t xml:space="preserve"> </w:t>
      </w:r>
      <w:r>
        <w:t xml:space="preserve">significant version effects. V4 achieved the highest composite score</w:t>
      </w:r>
      <w:r>
        <w:t xml:space="preserve"> </w:t>
      </w:r>
      <w:r>
        <w:t xml:space="preserve">(2.706), employing an Expectation–Perception Gap strategy.</w:t>
      </w:r>
    </w:p>
    <w:p>
      <w:pPr>
        <w:numPr>
          <w:ilvl w:val="0"/>
          <w:numId w:val="1003"/>
        </w:numPr>
        <w:pStyle w:val="Compact"/>
      </w:pPr>
      <w:r>
        <w:t xml:space="preserve">Within-subject BIBD comparisons corroborated this finding: 4 of 5 paired</w:t>
      </w:r>
      <w:r>
        <w:t xml:space="preserve"> </w:t>
      </w:r>
      <w:r>
        <w:t xml:space="preserve">comparisons reached significance.</w:t>
      </w:r>
    </w:p>
    <w:p>
      <w:pPr>
        <w:pStyle w:val="FirstParagraph"/>
      </w:pPr>
      <w:r>
        <w:t xml:space="preserve">[AUTHOR INPUT NEEDED: Discuss theoretical implications of the finding that</w:t>
      </w:r>
      <w:r>
        <w:t xml:space="preserve"> </w:t>
      </w:r>
      <w:r>
        <w:t xml:space="preserve">instrument design matters even for synthetic respondents.]</w:t>
      </w:r>
    </w:p>
    <w:p>
      <w:pPr>
        <w:pStyle w:val="BodyText"/>
      </w:pPr>
      <w:r>
        <w:rPr>
          <w:bCs/>
          <w:b/>
        </w:rPr>
        <w:t xml:space="preserve">RQ3 — Can iterative refinement improve instrument performance based on</w:t>
      </w:r>
      <w:r>
        <w:rPr>
          <w:bCs/>
          <w:b/>
        </w:rPr>
        <w:t xml:space="preserve"> </w:t>
      </w:r>
      <w:r>
        <w:rPr>
          <w:bCs/>
          <w:b/>
        </w:rPr>
        <w:t xml:space="preserve">quality feedback?</w:t>
      </w:r>
    </w:p>
    <w:p>
      <w:pPr>
        <w:numPr>
          <w:ilvl w:val="0"/>
          <w:numId w:val="1004"/>
        </w:numPr>
        <w:pStyle w:val="Compact"/>
      </w:pPr>
      <w:r>
        <w:t xml:space="preserve">The V4-to-V4_R1 refinement cycle yielded +36.9%</w:t>
      </w:r>
      <w:r>
        <w:t xml:space="preserve"> </w:t>
      </w:r>
      <w:r>
        <w:t xml:space="preserve">richness improvement and +22.5%</w:t>
      </w:r>
      <w:r>
        <w:t xml:space="preserve"> </w:t>
      </w:r>
      <w:r>
        <w:t xml:space="preserve">surfacing rate improvement, confirming that data-driven refinement is</w:t>
      </w:r>
      <w:r>
        <w:t xml:space="preserve"> </w:t>
      </w:r>
      <w:r>
        <w:t xml:space="preserve">effective.</w:t>
      </w:r>
    </w:p>
    <w:p>
      <w:pPr>
        <w:numPr>
          <w:ilvl w:val="0"/>
          <w:numId w:val="1004"/>
        </w:numPr>
        <w:pStyle w:val="Compact"/>
      </w:pPr>
      <w:r>
        <w:t xml:space="preserve">5 of 7 blind spots</w:t>
      </w:r>
      <w:r>
        <w:t xml:space="preserve"> </w:t>
      </w:r>
      <w:r>
        <w:t xml:space="preserve">were resolved in a single iteration.</w:t>
      </w:r>
    </w:p>
    <w:p>
      <w:pPr>
        <w:pStyle w:val="FirstParagraph"/>
      </w:pPr>
      <w:r>
        <w:t xml:space="preserve">[AUTHOR INPUT NEEDED: Discuss whether this constitutes evidence for</w:t>
      </w:r>
      <w:r>
        <w:t xml:space="preserve"> </w:t>
      </w:r>
      <w:r>
        <w:t xml:space="preserve">“</w:t>
      </w:r>
      <w:r>
        <w:t xml:space="preserve">double-loop learning</w:t>
      </w:r>
      <w:r>
        <w:t xml:space="preserve">”</w:t>
      </w:r>
      <w:r>
        <w:t xml:space="preserve"> </w:t>
      </w:r>
      <w:r>
        <w:t xml:space="preserve">(Argyris, 1977) in AI-mediated research design.]</w:t>
      </w:r>
    </w:p>
    <w:bookmarkEnd w:id="21"/>
    <w:bookmarkEnd w:id="22"/>
    <w:bookmarkStart w:id="27" w:name="methodological-implications"/>
    <w:p>
      <w:pPr>
        <w:pStyle w:val="Heading3"/>
      </w:pPr>
      <w:r>
        <w:t xml:space="preserve">6.2 Methodological Implications</w:t>
      </w:r>
    </w:p>
    <w:bookmarkStart w:id="23" w:name="composite-persona-construction"/>
    <w:p>
      <w:pPr>
        <w:pStyle w:val="Heading4"/>
      </w:pPr>
      <w:r>
        <w:t xml:space="preserve">Composite Persona Construction</w:t>
      </w:r>
    </w:p>
    <w:p>
      <w:pPr>
        <w:numPr>
          <w:ilvl w:val="0"/>
          <w:numId w:val="1005"/>
        </w:numPr>
        <w:pStyle w:val="Compact"/>
      </w:pPr>
      <w:r>
        <w:t xml:space="preserve">The study employed 150 composite personas constructed from Synthea</w:t>
      </w:r>
      <w:r>
        <w:t xml:space="preserve"> </w:t>
      </w:r>
      <w:r>
        <w:t xml:space="preserve">EHR data enriched with HuggingFace FinePersonas narratives. This two-source</w:t>
      </w:r>
      <w:r>
        <w:t xml:space="preserve"> </w:t>
      </w:r>
      <w:r>
        <w:t xml:space="preserve">approach grounded personas in realistic clinical trajectories while providing</w:t>
      </w:r>
      <w:r>
        <w:t xml:space="preserve"> </w:t>
      </w:r>
      <w:r>
        <w:t xml:space="preserve">the narrative richness needed for interview simulation.</w:t>
      </w:r>
    </w:p>
    <w:p>
      <w:pPr>
        <w:numPr>
          <w:ilvl w:val="0"/>
          <w:numId w:val="1005"/>
        </w:numPr>
        <w:pStyle w:val="Compact"/>
      </w:pPr>
      <w:r>
        <w:t xml:space="preserve">The approach addresses a key limitation of prior synthetic user studies that</w:t>
      </w:r>
      <w:r>
        <w:t xml:space="preserve"> </w:t>
      </w:r>
      <w:r>
        <w:t xml:space="preserve">relied on single-source persona generation.</w:t>
      </w:r>
    </w:p>
    <w:p>
      <w:pPr>
        <w:pStyle w:val="FirstParagraph"/>
      </w:pPr>
      <w:r>
        <w:t xml:space="preserve">[AUTHOR INPUT NEEDED: Discuss how the EHR grounding improves ecological validity</w:t>
      </w:r>
      <w:r>
        <w:t xml:space="preserve"> </w:t>
      </w:r>
      <w:r>
        <w:t xml:space="preserve">compared to purely narrative-based synthetic personas. Reference relevant</w:t>
      </w:r>
      <w:r>
        <w:t xml:space="preserve"> </w:t>
      </w:r>
      <w:r>
        <w:t xml:space="preserve">persona construction literature.]</w:t>
      </w:r>
    </w:p>
    <w:bookmarkEnd w:id="23"/>
    <w:bookmarkStart w:id="24" w:name="balanced-incomplete-block-design-bibd"/>
    <w:p>
      <w:pPr>
        <w:pStyle w:val="Heading4"/>
      </w:pPr>
      <w:r>
        <w:t xml:space="preserve">Balanced Incomplete Block Design (BIBD)</w:t>
      </w:r>
    </w:p>
    <w:p>
      <w:pPr>
        <w:numPr>
          <w:ilvl w:val="0"/>
          <w:numId w:val="1006"/>
        </w:numPr>
        <w:pStyle w:val="Compact"/>
      </w:pPr>
      <w:r>
        <w:t xml:space="preserve">The BIBD enabled within-subject comparison across 5 questionnaire versions</w:t>
      </w:r>
      <w:r>
        <w:t xml:space="preserve"> </w:t>
      </w:r>
      <w:r>
        <w:t xml:space="preserve">with only 2 administrations per persona, reducing confounding while maintaining</w:t>
      </w:r>
      <w:r>
        <w:t xml:space="preserve"> </w:t>
      </w:r>
      <w:r>
        <w:t xml:space="preserve">statistical power (</w:t>
      </w:r>
      <w:r>
        <w:rPr>
          <w:iCs/>
          <w:i/>
        </w:rPr>
        <w:t xml:space="preserve">n</w:t>
      </w:r>
      <w:r>
        <w:t xml:space="preserve"> </w:t>
      </w:r>
      <w:r>
        <w:t xml:space="preserve">= 30 pairs per group).</w:t>
      </w:r>
    </w:p>
    <w:p>
      <w:pPr>
        <w:numPr>
          <w:ilvl w:val="0"/>
          <w:numId w:val="1006"/>
        </w:numPr>
        <w:pStyle w:val="Compact"/>
      </w:pPr>
      <w:r>
        <w:t xml:space="preserve">4 of 5 within-subject comparisons reached significance, validating the</w:t>
      </w:r>
      <w:r>
        <w:t xml:space="preserve"> </w:t>
      </w:r>
      <w:r>
        <w:t xml:space="preserve">design’s sensitivity to version effects.</w:t>
      </w:r>
    </w:p>
    <w:p>
      <w:pPr>
        <w:numPr>
          <w:ilvl w:val="0"/>
          <w:numId w:val="1006"/>
        </w:numPr>
        <w:pStyle w:val="Compact"/>
      </w:pPr>
      <w:r>
        <w:t xml:space="preserve">This design is novel in the context of synthetic interview research and may</w:t>
      </w:r>
      <w:r>
        <w:t xml:space="preserve"> </w:t>
      </w:r>
      <w:r>
        <w:t xml:space="preserve">serve as a template for future multi-instrument comparison studies.</w:t>
      </w:r>
    </w:p>
    <w:p>
      <w:pPr>
        <w:pStyle w:val="FirstParagraph"/>
      </w:pPr>
      <w:r>
        <w:t xml:space="preserve">[AUTHOR INPUT NEEDED: Compare BIBD approach to full crossover designs used in</w:t>
      </w:r>
      <w:r>
        <w:t xml:space="preserve"> </w:t>
      </w:r>
      <w:r>
        <w:t xml:space="preserve">clinical trials. Discuss trade-offs between statistical efficiency and ecological</w:t>
      </w:r>
      <w:r>
        <w:t xml:space="preserve"> </w:t>
      </w:r>
      <w:r>
        <w:t xml:space="preserve">validity.]</w:t>
      </w:r>
    </w:p>
    <w:bookmarkEnd w:id="24"/>
    <w:bookmarkStart w:id="25" w:name="thematic-saturation-in-synthetic-corpora"/>
    <w:p>
      <w:pPr>
        <w:pStyle w:val="Heading4"/>
      </w:pPr>
      <w:r>
        <w:t xml:space="preserve">Thematic Saturation in Synthetic Corpora</w:t>
      </w:r>
    </w:p>
    <w:p>
      <w:pPr>
        <w:numPr>
          <w:ilvl w:val="0"/>
          <w:numId w:val="1007"/>
        </w:numPr>
        <w:pStyle w:val="Compact"/>
      </w:pPr>
      <w:r>
        <w:t xml:space="preserve">Saturation was not reached after 110 transcripts (3,925 unique themes), with</w:t>
      </w:r>
      <w:r>
        <w:t xml:space="preserve"> </w:t>
      </w:r>
      <w:r>
        <w:t xml:space="preserve">a power-law accumulation curve (</w:t>
      </w:r>
      <w:r>
        <w:rPr>
          <w:iCs/>
          <w:i/>
        </w:rPr>
        <w:t xml:space="preserve">R</w:t>
      </w:r>
      <w:r>
        <w:t xml:space="preserve">^2 = 0.992, exponent = 0.892).</w:t>
      </w:r>
    </w:p>
    <w:p>
      <w:pPr>
        <w:numPr>
          <w:ilvl w:val="0"/>
          <w:numId w:val="1007"/>
        </w:numPr>
        <w:pStyle w:val="Compact"/>
      </w:pPr>
      <w:r>
        <w:t xml:space="preserve">This near-linear accumulation pattern challenges conventional saturation</w:t>
      </w:r>
      <w:r>
        <w:t xml:space="preserve"> </w:t>
      </w:r>
      <w:r>
        <w:t xml:space="preserve">assumptions and raises questions about whether synthetic data inherently</w:t>
      </w:r>
      <w:r>
        <w:t xml:space="preserve"> </w:t>
      </w:r>
      <w:r>
        <w:t xml:space="preserve">produces higher thematic diversity than human interviews.</w:t>
      </w:r>
    </w:p>
    <w:p>
      <w:pPr>
        <w:numPr>
          <w:ilvl w:val="0"/>
          <w:numId w:val="1007"/>
        </w:numPr>
        <w:pStyle w:val="Compact"/>
      </w:pPr>
      <w:r>
        <w:t xml:space="preserve">The refinement round introduced 1,817 new themes (46.3% novelty rate),</w:t>
      </w:r>
      <w:r>
        <w:t xml:space="preserve"> </w:t>
      </w:r>
      <w:r>
        <w:t xml:space="preserve">confirming that instrument change reopens the thematic space.</w:t>
      </w:r>
    </w:p>
    <w:p>
      <w:pPr>
        <w:pStyle w:val="FirstParagraph"/>
      </w:pPr>
      <w:r>
        <w:t xml:space="preserve">[AUTHOR INPUT NEEDED: Discuss implications for saturation theory. Consider</w:t>
      </w:r>
      <w:r>
        <w:t xml:space="preserve"> </w:t>
      </w:r>
      <w:r>
        <w:t xml:space="preserve">whether this finding reflects LLM creativity/hallucination or genuine thematic</w:t>
      </w:r>
      <w:r>
        <w:t xml:space="preserve"> </w:t>
      </w:r>
      <w:r>
        <w:t xml:space="preserve">richness. Reference Hennink et al. (2017) and Saunders et al. (2018).]</w:t>
      </w:r>
    </w:p>
    <w:bookmarkEnd w:id="25"/>
    <w:bookmarkStart w:id="26" w:name="inter-rater-reliability-with-llm-judges"/>
    <w:p>
      <w:pPr>
        <w:pStyle w:val="Heading4"/>
      </w:pPr>
      <w:r>
        <w:t xml:space="preserve">Inter-Rater Reliability with LLM Judges</w:t>
      </w:r>
    </w:p>
    <w:p>
      <w:pPr>
        <w:numPr>
          <w:ilvl w:val="0"/>
          <w:numId w:val="1008"/>
        </w:numPr>
        <w:pStyle w:val="Compact"/>
      </w:pPr>
      <w:r>
        <w:t xml:space="preserve">Composite ICC = 0.903 across three independent LLM providers (Anthropic,</w:t>
      </w:r>
      <w:r>
        <w:t xml:space="preserve"> </w:t>
      </w:r>
      <w:r>
        <w:t xml:space="preserve">Google, OpenAI) demonstrates that multi-provider triangulation yields excellent</w:t>
      </w:r>
      <w:r>
        <w:t xml:space="preserve"> </w:t>
      </w:r>
      <w:r>
        <w:t xml:space="preserve">measurement consistency.</w:t>
      </w:r>
    </w:p>
    <w:p>
      <w:pPr>
        <w:numPr>
          <w:ilvl w:val="0"/>
          <w:numId w:val="1008"/>
        </w:numPr>
        <w:pStyle w:val="Compact"/>
      </w:pPr>
      <w:r>
        <w:t xml:space="preserve">This approach mitigates the risk of single-model scoring bias and provides a</w:t>
      </w:r>
      <w:r>
        <w:t xml:space="preserve"> </w:t>
      </w:r>
      <w:r>
        <w:t xml:space="preserve">replicable framework for quality assessment in synthetic research.</w:t>
      </w:r>
    </w:p>
    <w:p>
      <w:pPr>
        <w:pStyle w:val="FirstParagraph"/>
      </w:pPr>
      <w:r>
        <w:t xml:space="preserve">[AUTHOR INPUT NEEDED: Compare ICC values to published benchmarks for human</w:t>
      </w:r>
      <w:r>
        <w:t xml:space="preserve"> </w:t>
      </w:r>
      <w:r>
        <w:t xml:space="preserve">inter-rater reliability in qualitative health research. Discuss whether LLM</w:t>
      </w:r>
      <w:r>
        <w:t xml:space="preserve"> </w:t>
      </w:r>
      <w:r>
        <w:t xml:space="preserve">agreement may be artificially inflated by shared training data.]</w:t>
      </w:r>
    </w:p>
    <w:bookmarkEnd w:id="26"/>
    <w:bookmarkEnd w:id="27"/>
    <w:bookmarkStart w:id="31" w:name="managerial-implications"/>
    <w:p>
      <w:pPr>
        <w:pStyle w:val="Heading3"/>
      </w:pPr>
      <w:r>
        <w:t xml:space="preserve">6.3 Managerial Implications</w:t>
      </w:r>
    </w:p>
    <w:bookmarkStart w:id="28" w:name="innovation-opportunity-prioritisation"/>
    <w:p>
      <w:pPr>
        <w:pStyle w:val="Heading4"/>
      </w:pPr>
      <w:r>
        <w:t xml:space="preserve">Innovation Opportunity Prioritisation</w:t>
      </w:r>
    </w:p>
    <w:p>
      <w:pPr>
        <w:numPr>
          <w:ilvl w:val="0"/>
          <w:numId w:val="1009"/>
        </w:numPr>
        <w:pStyle w:val="Compact"/>
      </w:pPr>
      <w:r>
        <w:t xml:space="preserve">The study identified 584 innovation opportunities and 442</w:t>
      </w:r>
      <w:r>
        <w:t xml:space="preserve"> </w:t>
      </w:r>
      <w:r>
        <w:t xml:space="preserve">service gaps across maternity care provision. The five highest-priority</w:t>
      </w:r>
      <w:r>
        <w:t xml:space="preserve"> </w:t>
      </w:r>
      <w:r>
        <w:t xml:space="preserve">innovation areas were: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Digital tools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118) — patient-facing</w:t>
      </w:r>
      <w:r>
        <w:t xml:space="preserve"> </w:t>
      </w:r>
      <w:r>
        <w:t xml:space="preserve">apps, remote monitoring, digital care coordination platforms.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Care coordination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113) — integrated</w:t>
      </w:r>
      <w:r>
        <w:t xml:space="preserve"> </w:t>
      </w:r>
      <w:r>
        <w:t xml:space="preserve">care pathways, handover protocols, multi-disciplinary team coordination.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Emotional support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98) — proactive</w:t>
      </w:r>
      <w:r>
        <w:t xml:space="preserve"> </w:t>
      </w:r>
      <w:r>
        <w:t xml:space="preserve">mental health screening, peer support programmes, continuity of carer models.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Postnatal mental health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76) —</w:t>
      </w:r>
      <w:r>
        <w:t xml:space="preserve"> </w:t>
      </w:r>
      <w:r>
        <w:t xml:space="preserve">early intervention pathways, partner-inclusive support, digital mental health</w:t>
      </w:r>
      <w:r>
        <w:t xml:space="preserve"> </w:t>
      </w:r>
      <w:r>
        <w:t xml:space="preserve">tools.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Communication</w:t>
      </w:r>
      <w:r>
        <w:t xml:space="preserve"> </w:t>
      </w:r>
      <w:r>
        <w:t xml:space="preserve">(</w:t>
      </w:r>
      <w:r>
        <w:rPr>
          <w:iCs/>
          <w:i/>
        </w:rPr>
        <w:t xml:space="preserve">n</w:t>
      </w:r>
      <w:r>
        <w:t xml:space="preserve"> </w:t>
      </w:r>
      <w:r>
        <w:t xml:space="preserve">= 47) — plain-language</w:t>
      </w:r>
      <w:r>
        <w:t xml:space="preserve"> </w:t>
      </w:r>
      <w:r>
        <w:t xml:space="preserve">information resources, multilingual support, shared decision-making aids.</w:t>
      </w:r>
    </w:p>
    <w:p>
      <w:pPr>
        <w:pStyle w:val="FirstParagraph"/>
      </w:pPr>
      <w:r>
        <w:t xml:space="preserve">[AUTHOR INPUT NEEDED: Map these innovation opportunities to specific NHS/healthcare</w:t>
      </w:r>
      <w:r>
        <w:t xml:space="preserve"> </w:t>
      </w:r>
      <w:r>
        <w:t xml:space="preserve">service improvement priorities. Discuss which innovations are actionable within</w:t>
      </w:r>
      <w:r>
        <w:t xml:space="preserve"> </w:t>
      </w:r>
      <w:r>
        <w:t xml:space="preserve">current resource constraints.]</w:t>
      </w:r>
    </w:p>
    <w:bookmarkEnd w:id="28"/>
    <w:bookmarkStart w:id="29" w:name="cost-effectiveness"/>
    <w:p>
      <w:pPr>
        <w:pStyle w:val="Heading4"/>
      </w:pPr>
      <w:r>
        <w:t xml:space="preserve">Cost-Effectiveness</w:t>
      </w:r>
    </w:p>
    <w:p>
      <w:pPr>
        <w:numPr>
          <w:ilvl w:val="0"/>
          <w:numId w:val="1011"/>
        </w:numPr>
        <w:pStyle w:val="Compact"/>
      </w:pPr>
      <w:r>
        <w:t xml:space="preserve">The total pipeline cost was US$0.64 for 355 sessions,</w:t>
      </w:r>
      <w:r>
        <w:t xml:space="preserve"> </w:t>
      </w:r>
      <w:r>
        <w:t xml:space="preserve">yielding a per-session cost of US$0.0018.</w:t>
      </w:r>
    </w:p>
    <w:p>
      <w:pPr>
        <w:numPr>
          <w:ilvl w:val="0"/>
          <w:numId w:val="1011"/>
        </w:numPr>
        <w:pStyle w:val="Compact"/>
      </w:pPr>
      <w:r>
        <w:t xml:space="preserve">This represents orders-of-magnitude cost reduction compared to traditional</w:t>
      </w:r>
      <w:r>
        <w:t xml:space="preserve"> </w:t>
      </w:r>
      <w:r>
        <w:t xml:space="preserve">qualitative interview studies (typically US$500–2,000 per participant for</w:t>
      </w:r>
      <w:r>
        <w:t xml:space="preserve"> </w:t>
      </w:r>
      <w:r>
        <w:t xml:space="preserve">recruitment, incentives, transcription, and analysis).</w:t>
      </w:r>
    </w:p>
    <w:p>
      <w:pPr>
        <w:numPr>
          <w:ilvl w:val="0"/>
          <w:numId w:val="1011"/>
        </w:numPr>
        <w:pStyle w:val="Compact"/>
      </w:pPr>
      <w:r>
        <w:t xml:space="preserve">The marginal cost of additional iterations approaches zero, enabling rapid</w:t>
      </w:r>
      <w:r>
        <w:t xml:space="preserve"> </w:t>
      </w:r>
      <w:r>
        <w:t xml:space="preserve">prototyping of research instruments.</w:t>
      </w:r>
    </w:p>
    <w:p>
      <w:pPr>
        <w:pStyle w:val="FirstParagraph"/>
      </w:pPr>
      <w:r>
        <w:t xml:space="preserve">[AUTHOR INPUT NEEDED: Provide specific cost comparisons to published maternity</w:t>
      </w:r>
      <w:r>
        <w:t xml:space="preserve"> </w:t>
      </w:r>
      <w:r>
        <w:t xml:space="preserve">care interview studies. Discuss whether cost savings justify the quality trade-offs</w:t>
      </w:r>
      <w:r>
        <w:t xml:space="preserve"> </w:t>
      </w:r>
      <w:r>
        <w:t xml:space="preserve">inherent in synthetic data.]</w:t>
      </w:r>
    </w:p>
    <w:bookmarkEnd w:id="29"/>
    <w:bookmarkStart w:id="30" w:name="governance-framework"/>
    <w:p>
      <w:pPr>
        <w:pStyle w:val="Heading4"/>
      </w:pPr>
      <w:r>
        <w:t xml:space="preserve">Governance Framework</w:t>
      </w:r>
    </w:p>
    <w:p>
      <w:pPr>
        <w:numPr>
          <w:ilvl w:val="0"/>
          <w:numId w:val="1012"/>
        </w:numPr>
        <w:pStyle w:val="Compact"/>
      </w:pPr>
      <w:r>
        <w:t xml:space="preserve">The study implemented the following governance elements to ensure</w:t>
      </w:r>
      <w:r>
        <w:t xml:space="preserve"> </w:t>
      </w:r>
      <w:r>
        <w:t xml:space="preserve">methodological transparency and reproducibility:</w:t>
      </w:r>
    </w:p>
    <w:p>
      <w:pPr>
        <w:numPr>
          <w:ilvl w:val="1"/>
          <w:numId w:val="1013"/>
        </w:numPr>
        <w:pStyle w:val="Compact"/>
      </w:pPr>
      <w:r>
        <w:t xml:space="preserve">All prompts archived</w:t>
      </w:r>
    </w:p>
    <w:p>
      <w:pPr>
        <w:numPr>
          <w:ilvl w:val="1"/>
          <w:numId w:val="1013"/>
        </w:numPr>
        <w:pStyle w:val="Compact"/>
      </w:pPr>
      <w:r>
        <w:t xml:space="preserve">Audit trail for every modification</w:t>
      </w:r>
    </w:p>
    <w:p>
      <w:pPr>
        <w:numPr>
          <w:ilvl w:val="1"/>
          <w:numId w:val="1013"/>
        </w:numPr>
        <w:pStyle w:val="Compact"/>
      </w:pPr>
      <w:r>
        <w:t xml:space="preserve">Multi-provider inter-rater validation</w:t>
      </w:r>
    </w:p>
    <w:p>
      <w:pPr>
        <w:numPr>
          <w:ilvl w:val="1"/>
          <w:numId w:val="1013"/>
        </w:numPr>
        <w:pStyle w:val="Compact"/>
      </w:pPr>
      <w:r>
        <w:t xml:space="preserve">Adversarial robustness testing</w:t>
      </w:r>
    </w:p>
    <w:p>
      <w:pPr>
        <w:numPr>
          <w:ilvl w:val="1"/>
          <w:numId w:val="1013"/>
        </w:numPr>
        <w:pStyle w:val="Compact"/>
      </w:pPr>
      <w:r>
        <w:t xml:space="preserve">Synthetic-only data (no real patients)</w:t>
      </w:r>
    </w:p>
    <w:p>
      <w:pPr>
        <w:numPr>
          <w:ilvl w:val="1"/>
          <w:numId w:val="1013"/>
        </w:numPr>
        <w:pStyle w:val="Compact"/>
      </w:pPr>
      <w:r>
        <w:t xml:space="preserve">Cost tracking per call</w:t>
      </w:r>
    </w:p>
    <w:p>
      <w:pPr>
        <w:numPr>
          <w:ilvl w:val="1"/>
          <w:numId w:val="1013"/>
        </w:numPr>
        <w:pStyle w:val="Compact"/>
      </w:pPr>
      <w:r>
        <w:t xml:space="preserve">Timestamped outputs — no data overwritten</w:t>
      </w:r>
    </w:p>
    <w:p>
      <w:pPr>
        <w:pStyle w:val="FirstParagraph"/>
      </w:pPr>
      <w:r>
        <w:t xml:space="preserve">[AUTHOR INPUT NEEDED: Discuss how this governance framework addresses emerging</w:t>
      </w:r>
      <w:r>
        <w:t xml:space="preserve"> </w:t>
      </w:r>
      <w:r>
        <w:t xml:space="preserve">regulatory requirements for AI-generated research data (e.g., EU AI Act, NHS</w:t>
      </w:r>
      <w:r>
        <w:t xml:space="preserve"> </w:t>
      </w:r>
      <w:r>
        <w:t xml:space="preserve">AI ethics guidelines). Recommend governance standards for future synthetic</w:t>
      </w:r>
      <w:r>
        <w:t xml:space="preserve"> </w:t>
      </w:r>
      <w:r>
        <w:t xml:space="preserve">research studies.]</w:t>
      </w:r>
    </w:p>
    <w:bookmarkEnd w:id="30"/>
    <w:bookmarkEnd w:id="31"/>
    <w:bookmarkStart w:id="36" w:name="limitations-and-future-research"/>
    <w:p>
      <w:pPr>
        <w:pStyle w:val="Heading3"/>
      </w:pPr>
      <w:r>
        <w:t xml:space="preserve">6.4 Limitations and Future Research</w:t>
      </w:r>
    </w:p>
    <w:bookmarkStart w:id="32" w:name="synthetic-data-limitations"/>
    <w:p>
      <w:pPr>
        <w:pStyle w:val="Heading4"/>
      </w:pPr>
      <w:r>
        <w:t xml:space="preserve">Synthetic Data Limitations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All data is synthetic.</w:t>
      </w:r>
      <w:r>
        <w:t xml:space="preserve"> </w:t>
      </w:r>
      <w:r>
        <w:t xml:space="preserve">Personas were constructed from Synthea-generated</w:t>
      </w:r>
      <w:r>
        <w:t xml:space="preserve"> </w:t>
      </w:r>
      <w:r>
        <w:t xml:space="preserve">EHR records and LLM-enriched narratives. No real patients were involved.</w:t>
      </w:r>
      <w:r>
        <w:t xml:space="preserve"> </w:t>
      </w:r>
      <w:r>
        <w:t xml:space="preserve">Findings represent the generative capacity of AI models rather than empirical</w:t>
      </w:r>
      <w:r>
        <w:t xml:space="preserve"> </w:t>
      </w:r>
      <w:r>
        <w:t xml:space="preserve">patient experiences.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Unknown ecological validity.</w:t>
      </w:r>
      <w:r>
        <w:t xml:space="preserve"> </w:t>
      </w:r>
      <w:r>
        <w:t xml:space="preserve">The relationship between synthetic interview</w:t>
      </w:r>
      <w:r>
        <w:t xml:space="preserve"> </w:t>
      </w:r>
      <w:r>
        <w:t xml:space="preserve">responses and real patient responses remains unvalidated. The quality metrics</w:t>
      </w:r>
      <w:r>
        <w:t xml:space="preserve"> </w:t>
      </w:r>
      <w:r>
        <w:t xml:space="preserve">used (richness, surfacing rate) measure internal consistency rather than</w:t>
      </w:r>
      <w:r>
        <w:t xml:space="preserve"> </w:t>
      </w:r>
      <w:r>
        <w:t xml:space="preserve">external validity.</w:t>
      </w:r>
    </w:p>
    <w:p>
      <w:pPr>
        <w:pStyle w:val="FirstParagraph"/>
      </w:pPr>
      <w:r>
        <w:t xml:space="preserve">[AUTHOR INPUT NEEDED: Discuss the fundamental epistemological question of what</w:t>
      </w:r>
      <w:r>
        <w:t xml:space="preserve"> </w:t>
      </w:r>
      <w:r>
        <w:t xml:space="preserve">synthetic interview data actually represents. Is it a simulation of patient</w:t>
      </w:r>
      <w:r>
        <w:t xml:space="preserve"> </w:t>
      </w:r>
      <w:r>
        <w:t xml:space="preserve">experience, a model of researcher expectations, or a novel form of knowledge?]</w:t>
      </w:r>
    </w:p>
    <w:bookmarkEnd w:id="32"/>
    <w:bookmarkStart w:id="33" w:name="llm-bias-and-coverage-gaps"/>
    <w:p>
      <w:pPr>
        <w:pStyle w:val="Heading4"/>
      </w:pPr>
      <w:r>
        <w:t xml:space="preserve">LLM Bias and Coverage Gaps</w:t>
      </w:r>
    </w:p>
    <w:p>
      <w:pPr>
        <w:numPr>
          <w:ilvl w:val="0"/>
          <w:numId w:val="1015"/>
        </w:numPr>
        <w:pStyle w:val="Compact"/>
      </w:pPr>
      <w:r>
        <w:t xml:space="preserve">Clinical grounding scored consistently lowest across all versions</w:t>
      </w:r>
      <w:r>
        <w:t xml:space="preserve"> </w:t>
      </w:r>
      <w:r>
        <w:t xml:space="preserve">(</w:t>
      </w:r>
      <w:r>
        <w:rPr>
          <w:iCs/>
          <w:i/>
        </w:rPr>
        <w:t xml:space="preserve">M</w:t>
      </w:r>
      <w:r>
        <w:t xml:space="preserve"> </w:t>
      </w:r>
      <w:r>
        <w:t xml:space="preserve">= 2.59/5.0), suggesting that LLM-based personas may lack</w:t>
      </w:r>
      <w:r>
        <w:t xml:space="preserve"> </w:t>
      </w:r>
      <w:r>
        <w:t xml:space="preserve">the specificity of lived clinical experience.</w:t>
      </w:r>
    </w:p>
    <w:p>
      <w:pPr>
        <w:numPr>
          <w:ilvl w:val="0"/>
          <w:numId w:val="1015"/>
        </w:numPr>
        <w:pStyle w:val="Compact"/>
      </w:pPr>
      <w:r>
        <w:t xml:space="preserve">2 blind spot dimensions remained unresolved after refinement.</w:t>
      </w:r>
      <w:r>
        <w:t xml:space="preserve"> </w:t>
      </w:r>
      <w:r>
        <w:t xml:space="preserve">Persistent zero-surfacing dimensions (trust distrust) may reflect</w:t>
      </w:r>
      <w:r>
        <w:t xml:space="preserve"> </w:t>
      </w:r>
      <w:r>
        <w:t xml:space="preserve">fundamental limitations of prompt-based persona construction.</w:t>
      </w:r>
    </w:p>
    <w:p>
      <w:pPr>
        <w:numPr>
          <w:ilvl w:val="0"/>
          <w:numId w:val="1015"/>
        </w:numPr>
        <w:pStyle w:val="Compact"/>
      </w:pPr>
      <w:r>
        <w:t xml:space="preserve">First-trimester and preconception phases consistently showed lower richness</w:t>
      </w:r>
      <w:r>
        <w:t xml:space="preserve"> </w:t>
      </w:r>
      <w:r>
        <w:t xml:space="preserve">scores across all versions, potentially reflecting training data biases in</w:t>
      </w:r>
      <w:r>
        <w:t xml:space="preserve"> </w:t>
      </w:r>
      <w:r>
        <w:t xml:space="preserve">the underlying LLMs.</w:t>
      </w:r>
    </w:p>
    <w:p>
      <w:pPr>
        <w:pStyle w:val="FirstParagraph"/>
      </w:pPr>
      <w:r>
        <w:t xml:space="preserve">[AUTHOR INPUT NEEDED: Discuss potential sources of LLM bias relevant to</w:t>
      </w:r>
      <w:r>
        <w:t xml:space="preserve"> </w:t>
      </w:r>
      <w:r>
        <w:t xml:space="preserve">maternity care research. Consider how model training data composition may</w:t>
      </w:r>
      <w:r>
        <w:t xml:space="preserve"> </w:t>
      </w:r>
      <w:r>
        <w:t xml:space="preserve">systematically underrepresent certain populations or care experiences.]</w:t>
      </w:r>
    </w:p>
    <w:bookmarkEnd w:id="33"/>
    <w:bookmarkStart w:id="34" w:name="coverage-gaps"/>
    <w:p>
      <w:pPr>
        <w:pStyle w:val="Heading4"/>
      </w:pPr>
      <w:r>
        <w:t xml:space="preserve">Coverage Gaps</w:t>
      </w:r>
    </w:p>
    <w:p>
      <w:pPr>
        <w:numPr>
          <w:ilvl w:val="0"/>
          <w:numId w:val="1016"/>
        </w:numPr>
        <w:pStyle w:val="Compact"/>
      </w:pPr>
      <w:r>
        <w:t xml:space="preserve">The instrument failed to surface trust/distrust dynamics across all five</w:t>
      </w:r>
      <w:r>
        <w:t xml:space="preserve"> </w:t>
      </w:r>
      <w:r>
        <w:t xml:space="preserve">versions (0.0% surfacing rate), despite multiple questions targeting this</w:t>
      </w:r>
      <w:r>
        <w:t xml:space="preserve"> </w:t>
      </w:r>
      <w:r>
        <w:t xml:space="preserve">dimension. This suggests a structural limitation in how synthetic personas</w:t>
      </w:r>
      <w:r>
        <w:t xml:space="preserve"> </w:t>
      </w:r>
      <w:r>
        <w:t xml:space="preserve">process trust-related prompts.</w:t>
      </w:r>
    </w:p>
    <w:p>
      <w:pPr>
        <w:numPr>
          <w:ilvl w:val="0"/>
          <w:numId w:val="1016"/>
        </w:numPr>
        <w:pStyle w:val="Compact"/>
      </w:pPr>
      <w:r>
        <w:t xml:space="preserve">Body image autonomy, partner role, and digital information seeking similarly</w:t>
      </w:r>
      <w:r>
        <w:t xml:space="preserve"> </w:t>
      </w:r>
      <w:r>
        <w:t xml:space="preserve">showed near-zero surfacing rates, indicating that these experiential domains</w:t>
      </w:r>
      <w:r>
        <w:t xml:space="preserve"> </w:t>
      </w:r>
      <w:r>
        <w:t xml:space="preserve">may require fundamentally different elicitation strategies.</w:t>
      </w:r>
    </w:p>
    <w:p>
      <w:pPr>
        <w:pStyle w:val="FirstParagraph"/>
      </w:pPr>
      <w:r>
        <w:t xml:space="preserve">[AUTHOR INPUT NEEDED: Propose specific methodological solutions for addressing</w:t>
      </w:r>
      <w:r>
        <w:t xml:space="preserve"> </w:t>
      </w:r>
      <w:r>
        <w:t xml:space="preserve">these coverage gaps in future research iterations.]</w:t>
      </w:r>
    </w:p>
    <w:bookmarkEnd w:id="34"/>
    <w:bookmarkStart w:id="35" w:name="future-research-directions"/>
    <w:p>
      <w:pPr>
        <w:pStyle w:val="Heading4"/>
      </w:pPr>
      <w:r>
        <w:t xml:space="preserve">Future Research Directions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Validation against human data.</w:t>
      </w:r>
      <w:r>
        <w:t xml:space="preserve"> </w:t>
      </w:r>
      <w:r>
        <w:t xml:space="preserve">The most critical next step is to</w:t>
      </w:r>
      <w:r>
        <w:t xml:space="preserve"> </w:t>
      </w:r>
      <w:r>
        <w:t xml:space="preserve">administer the refined V4_R1 instrument to real maternity care service</w:t>
      </w:r>
      <w:r>
        <w:t xml:space="preserve"> </w:t>
      </w:r>
      <w:r>
        <w:t xml:space="preserve">users and compare response quality, thematic content, and latent dimension</w:t>
      </w:r>
      <w:r>
        <w:t xml:space="preserve"> </w:t>
      </w:r>
      <w:r>
        <w:t xml:space="preserve">coverage to synthetic counterparts.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Multi-modal persona enrichment.</w:t>
      </w:r>
      <w:r>
        <w:t xml:space="preserve"> </w:t>
      </w:r>
      <w:r>
        <w:t xml:space="preserve">Future iterations could incorporate</w:t>
      </w:r>
      <w:r>
        <w:t xml:space="preserve"> </w:t>
      </w:r>
      <w:r>
        <w:t xml:space="preserve">additional data sources (e.g., patient-reported outcome measures, social</w:t>
      </w:r>
      <w:r>
        <w:t xml:space="preserve"> </w:t>
      </w:r>
      <w:r>
        <w:t xml:space="preserve">determinants of health data) to improve persona realism.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Cross-cultural replication.</w:t>
      </w:r>
      <w:r>
        <w:t xml:space="preserve"> </w:t>
      </w:r>
      <w:r>
        <w:t xml:space="preserve">The current study is grounded in US-based</w:t>
      </w:r>
      <w:r>
        <w:t xml:space="preserve"> </w:t>
      </w:r>
      <w:r>
        <w:t xml:space="preserve">Synthea data. Replication with UK, European, or Global South health system</w:t>
      </w:r>
      <w:r>
        <w:t xml:space="preserve"> </w:t>
      </w:r>
      <w:r>
        <w:t xml:space="preserve">data would test the generalisability of the approach.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Longitudinal instrument evolution.</w:t>
      </w:r>
      <w:r>
        <w:t xml:space="preserve"> </w:t>
      </w:r>
      <w:r>
        <w:t xml:space="preserve">The power-law thematic accumulation</w:t>
      </w:r>
      <w:r>
        <w:t xml:space="preserve"> </w:t>
      </w:r>
      <w:r>
        <w:t xml:space="preserve">pattern suggests that continued iteration could access increasingly</w:t>
      </w:r>
      <w:r>
        <w:t xml:space="preserve"> </w:t>
      </w:r>
      <w:r>
        <w:t xml:space="preserve">specialised experiential domains. A longitudinal study tracking instrument</w:t>
      </w:r>
      <w:r>
        <w:t xml:space="preserve"> </w:t>
      </w:r>
      <w:r>
        <w:t xml:space="preserve">evolution over multiple refinement cycles would provide evidence on</w:t>
      </w:r>
      <w:r>
        <w:t xml:space="preserve"> </w:t>
      </w:r>
      <w:r>
        <w:t xml:space="preserve">diminishing returns.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Trust and relational dimensions.</w:t>
      </w:r>
      <w:r>
        <w:t xml:space="preserve"> </w:t>
      </w:r>
      <w:r>
        <w:t xml:space="preserve">Targeted research is needed to</w:t>
      </w:r>
      <w:r>
        <w:t xml:space="preserve"> </w:t>
      </w:r>
      <w:r>
        <w:t xml:space="preserve">understand why trust/distrust dynamics are inaccessible to current</w:t>
      </w:r>
      <w:r>
        <w:t xml:space="preserve"> </w:t>
      </w:r>
      <w:r>
        <w:t xml:space="preserve">synthetic persona approaches and to develop elicitation strategies that</w:t>
      </w:r>
      <w:r>
        <w:t xml:space="preserve"> </w:t>
      </w:r>
      <w:r>
        <w:t xml:space="preserve">overcome this limitation.</w:t>
      </w:r>
    </w:p>
    <w:p>
      <w:pPr>
        <w:pStyle w:val="FirstParagraph"/>
      </w:pPr>
      <w:r>
        <w:t xml:space="preserve">[AUTHOR INPUT NEEDED: Prioritise these future research directions based on</w:t>
      </w:r>
      <w:r>
        <w:t xml:space="preserve"> </w:t>
      </w:r>
      <w:r>
        <w:t xml:space="preserve">feasibility and theoretical contribution. Add any domain-specific directions</w:t>
      </w:r>
      <w:r>
        <w:t xml:space="preserve"> </w:t>
      </w:r>
      <w:r>
        <w:t xml:space="preserve">relevant to maternity care policy or practice.]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Scaffold generated by discussion_writer.py — no LLM calls.</w:t>
      </w:r>
      <w:r>
        <w:t xml:space="preserve"> </w:t>
      </w:r>
      <w:r>
        <w:rPr>
          <w:iCs/>
          <w:i/>
        </w:rPr>
        <w:t xml:space="preserve">Sections marked [AUTHOR INPUT NEEDED] require human interpretation.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2026-03-20T10:52:51Z</dcterms:created>
  <dcterms:modified xsi:type="dcterms:W3CDTF">2026-03-20T10:52:51Z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