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i-tools-disclosure-statement"/>
    <w:p>
      <w:pPr>
        <w:pStyle w:val="Heading1"/>
      </w:pPr>
      <w:r>
        <w:t xml:space="preserve">AI Tools Disclosure Statement</w:t>
      </w:r>
    </w:p>
    <w:p>
      <w:pPr>
        <w:pStyle w:val="FirstParagraph"/>
      </w:pPr>
      <w:r>
        <w:t xml:space="preserve">In accordance with the Journal of Product Innovation Management editorial policy on AI-assisted research, we provide the following disclosure.</w:t>
      </w:r>
    </w:p>
    <w:bookmarkStart w:id="20" w:name="ai-tools-used"/>
    <w:p>
      <w:pPr>
        <w:pStyle w:val="Heading2"/>
      </w:pPr>
      <w:r>
        <w:t xml:space="preserve">AI Tools Used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2200"/>
        <w:gridCol w:w="1980"/>
        <w:gridCol w:w="2420"/>
      </w:tblGrid>
      <w:tr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Oversight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(Anthropic)</w:t>
            </w:r>
          </w:p>
        </w:tc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Persona generation, interview simulation, quality scoring</w:t>
            </w:r>
          </w:p>
        </w:tc>
        <w:tc>
          <w:p>
            <w:pPr>
              <w:pStyle w:val="Compact"/>
              <w:jc w:val="left"/>
            </w:pPr>
            <w:r>
              <w:t xml:space="preserve">Multi-provider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 (OpenAI)</w:t>
            </w:r>
          </w:p>
        </w:tc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Persona generation, interview simulation</w:t>
            </w:r>
          </w:p>
        </w:tc>
        <w:tc>
          <w:p>
            <w:pPr>
              <w:pStyle w:val="Compact"/>
              <w:jc w:val="left"/>
            </w:pPr>
            <w:r>
              <w:t xml:space="preserve">Provider rotation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(Google)</w:t>
            </w:r>
          </w:p>
        </w:tc>
        <w:tc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p>
            <w:pPr>
              <w:pStyle w:val="Compact"/>
              <w:jc w:val="left"/>
            </w:pPr>
            <w:r>
              <w:t xml:space="preserve">Quality scoring, service mapping</w:t>
            </w:r>
          </w:p>
        </w:tc>
        <w:tc>
          <w:p>
            <w:pPr>
              <w:pStyle w:val="Compact"/>
              <w:jc w:val="left"/>
            </w:pPr>
            <w:r>
              <w:t xml:space="preserve">Cost-optimised evaluation</w:t>
            </w:r>
          </w:p>
        </w:tc>
      </w:tr>
    </w:tbl>
    <w:bookmarkEnd w:id="20"/>
    <w:bookmarkStart w:id="21" w:name="ai-usage-categories"/>
    <w:p>
      <w:pPr>
        <w:pStyle w:val="Heading2"/>
      </w:pPr>
      <w:r>
        <w:t xml:space="preserve">AI Usage Categories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Research Instrument (Primary):</w:t>
      </w:r>
      <w:r>
        <w:t xml:space="preserve"> </w:t>
      </w:r>
      <w:r>
        <w:t xml:space="preserve">AI models served as the core research instrument — generating synthetic personas, conducting simulated interviews, and scoring response quality. This is analogous to using specialised software instruments in experimental research.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Evaluation Methodology:</w:t>
      </w:r>
      <w:r>
        <w:t xml:space="preserve"> </w:t>
      </w:r>
      <w:r>
        <w:t xml:space="preserve">Three independent AI providers scored responses using identical rubrics, enabling inter-rater reliability assessment (ICC = 0.903). This multi-provider approach mitigates single-model bias.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Anti-Bias Design:</w:t>
      </w:r>
      <w:r>
        <w:t xml:space="preserve"> </w:t>
      </w:r>
      <w:r>
        <w:t xml:space="preserve">A provider rotation protocol ensured that no single AI model dominated persona generation. Quality evaluation used a different provider than interview generation.</w:t>
      </w:r>
    </w:p>
    <w:bookmarkEnd w:id="21"/>
    <w:bookmarkStart w:id="22" w:name="ai-not-used-for"/>
    <w:p>
      <w:pPr>
        <w:pStyle w:val="Heading2"/>
      </w:pPr>
      <w:r>
        <w:t xml:space="preserve">AI NOT Used For</w:t>
      </w:r>
    </w:p>
    <w:p>
      <w:pPr>
        <w:numPr>
          <w:ilvl w:val="0"/>
          <w:numId w:val="1002"/>
        </w:numPr>
        <w:pStyle w:val="Compact"/>
      </w:pPr>
      <w:r>
        <w:t xml:space="preserve">Theoretical framing or literature interpretation</w:t>
      </w:r>
    </w:p>
    <w:p>
      <w:pPr>
        <w:numPr>
          <w:ilvl w:val="0"/>
          <w:numId w:val="1002"/>
        </w:numPr>
        <w:pStyle w:val="Compact"/>
      </w:pPr>
      <w:r>
        <w:t xml:space="preserve">Research question formulation</w:t>
      </w:r>
    </w:p>
    <w:p>
      <w:pPr>
        <w:numPr>
          <w:ilvl w:val="0"/>
          <w:numId w:val="1002"/>
        </w:numPr>
        <w:pStyle w:val="Compact"/>
      </w:pPr>
      <w:r>
        <w:t xml:space="preserve">Selection of analytical frameworks</w:t>
      </w:r>
    </w:p>
    <w:p>
      <w:pPr>
        <w:numPr>
          <w:ilvl w:val="0"/>
          <w:numId w:val="1002"/>
        </w:numPr>
        <w:pStyle w:val="Compact"/>
      </w:pPr>
      <w:r>
        <w:t xml:space="preserve">Interpretation of results or discussion</w:t>
      </w:r>
    </w:p>
    <w:p>
      <w:pPr>
        <w:numPr>
          <w:ilvl w:val="0"/>
          <w:numId w:val="1002"/>
        </w:numPr>
        <w:pStyle w:val="Compact"/>
      </w:pPr>
      <w:r>
        <w:t xml:space="preserve">Manuscript authoring decisions</w:t>
      </w:r>
    </w:p>
    <w:bookmarkEnd w:id="22"/>
    <w:bookmarkStart w:id="23" w:name="governance"/>
    <w:p>
      <w:pPr>
        <w:pStyle w:val="Heading2"/>
      </w:pPr>
      <w:r>
        <w:t xml:space="preserve">Governance</w:t>
      </w:r>
    </w:p>
    <w:p>
      <w:pPr>
        <w:numPr>
          <w:ilvl w:val="0"/>
          <w:numId w:val="1003"/>
        </w:numPr>
        <w:pStyle w:val="Compact"/>
      </w:pPr>
      <w:r>
        <w:t xml:space="preserve">All AI prompts are archived and available in supplementary materials</w:t>
      </w:r>
    </w:p>
    <w:p>
      <w:pPr>
        <w:numPr>
          <w:ilvl w:val="0"/>
          <w:numId w:val="1003"/>
        </w:numPr>
        <w:pStyle w:val="Compact"/>
      </w:pPr>
      <w:r>
        <w:t xml:space="preserve">Complete audit trail documenting every modification</w:t>
      </w:r>
    </w:p>
    <w:p>
      <w:pPr>
        <w:numPr>
          <w:ilvl w:val="0"/>
          <w:numId w:val="1003"/>
        </w:numPr>
        <w:pStyle w:val="Compact"/>
      </w:pPr>
      <w:r>
        <w:t xml:space="preserve">Timestamped outputs ensuring reproducibility</w:t>
      </w:r>
    </w:p>
    <w:p>
      <w:pPr>
        <w:numPr>
          <w:ilvl w:val="0"/>
          <w:numId w:val="1003"/>
        </w:numPr>
        <w:pStyle w:val="Compact"/>
      </w:pPr>
      <w:r>
        <w:t xml:space="preserve">Cost tracking per API call (total: US$0.64 in development mode)</w:t>
      </w:r>
    </w:p>
    <w:p>
      <w:pPr>
        <w:numPr>
          <w:ilvl w:val="0"/>
          <w:numId w:val="1003"/>
        </w:numPr>
        <w:pStyle w:val="Compact"/>
      </w:pPr>
      <w:r>
        <w:t xml:space="preserve">Adversarial testing with 5 vulnerable population profiles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2026-03-20T10:52:54Z</dcterms:created>
  <dcterms:modified xsi:type="dcterms:W3CDTF">2026-03-20T10:52:54Z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