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Editor-in-Chief,</w:t>
      </w:r>
    </w:p>
    <w:p>
      <w:pPr>
        <w:pStyle w:val="BodyText"/>
      </w:pPr>
      <w:r>
        <w:t xml:space="preserve">We are pleased to submit our manuscript entitled</w:t>
      </w:r>
      <w:r>
        <w:t xml:space="preserve"> </w:t>
      </w:r>
      <w:r>
        <w:t xml:space="preserve">“</w:t>
      </w:r>
      <w:r>
        <w:t xml:space="preserve">AI-Enabled Questionnaire Design for Maternity-Care Innovation: A Synthetic User Approach Combining Composite Personas and Electronic Health Records at the Front End of Innovation</w:t>
      </w:r>
      <w:r>
        <w:t xml:space="preserve">”</w:t>
      </w:r>
      <w:r>
        <w:t xml:space="preserve"> </w:t>
      </w:r>
      <w:r>
        <w:t xml:space="preserve">for consideration for publication in the Journal of Product Innovation Management.</w:t>
      </w:r>
    </w:p>
    <w:p>
      <w:pPr>
        <w:pStyle w:val="BodyText"/>
      </w:pPr>
      <w:r>
        <w:t xml:space="preserve">This manuscript makes three contributions to the innovation management literature:</w:t>
      </w:r>
    </w:p>
    <w:p>
      <w:pPr>
        <w:numPr>
          <w:ilvl w:val="0"/>
          <w:numId w:val="1001"/>
        </w:numPr>
      </w:pPr>
      <w:r>
        <w:t xml:space="preserve">THEORETICAL CONTRIBUTION: We extend the knowledge-based view (KBV) of the firm by operationalising AI-enabled synthetic user research as a micro-sensing capability at the front end of innovation. We demonstrate how composite personas — combining personality-rich profiles (HuggingFace FinePersonas) with clinically grounded electronic health records (Synthea EHR) — reconfigure knowledge-creation routines in ways that are distinct from both traditional user research and simple AI augmentation.</w:t>
      </w:r>
    </w:p>
    <w:p>
      <w:pPr>
        <w:numPr>
          <w:ilvl w:val="0"/>
          <w:numId w:val="1001"/>
        </w:numPr>
      </w:pPr>
      <w:r>
        <w:t xml:space="preserve">METHODOLOGICAL CONTRIBUTION: We introduce a replicable seven-sprint pipeline for multi-version questionnaire generation and comparative evaluation. Our balanced incomplete block design (BIBD) enables both within-subject and between-subject comparison of five distinct interview strategies. The methodology includes multi-provider inter-rater reliability validation (ICC = 0.903), adversarial robustness testing across vulnerable populations (5/5 profiles passed), and thematic saturation analysis (3,925 unique codes).</w:t>
      </w:r>
    </w:p>
    <w:p>
      <w:pPr>
        <w:numPr>
          <w:ilvl w:val="0"/>
          <w:numId w:val="1001"/>
        </w:numPr>
      </w:pPr>
      <w:r>
        <w:t xml:space="preserve">MANAGERIAL CONTRIBUTION: Applied to maternity care, the pipeline identifies 442 specific service gaps and 584 innovation opportunities, providing actionable insights for healthcare service innovation. The expectation-perception gap strategy emerges as the optimal questionnaire design (p = 0.001), with iterative refinement improving response richness by 36.9%. The complete pipeline operates at US$0.64 in development mode, demonstrating cost-effectiveness compared to traditional user research.</w:t>
      </w:r>
    </w:p>
    <w:p>
      <w:pPr>
        <w:pStyle w:val="FirstParagraph"/>
      </w:pPr>
      <w:r>
        <w:t xml:space="preserve">To our knowledge, this is the first study to combine FinePersonas and Synthea EHR data for innovation-focused questionnaire design. The work responds to recent calls in JPIM for empirical research on AI capabilities in innovation management and for methodological innovation in user research at the front end.</w:t>
      </w:r>
    </w:p>
    <w:p>
      <w:pPr>
        <w:pStyle w:val="BodyText"/>
      </w:pPr>
      <w:r>
        <w:t xml:space="preserve">In accordance with JPIM’s AI disclosure policy, we confirm that generative AI tools were used as the research instrument (synthetic interview generation and quality evaluation) but not for theoretical analysis, interpretation, or manuscript authoring decisions. Full AI governance disclosure is provided in the manuscript and supplementary materials.</w:t>
      </w:r>
    </w:p>
    <w:p>
      <w:pPr>
        <w:pStyle w:val="BodyText"/>
      </w:pPr>
      <w:r>
        <w:t xml:space="preserve">The manuscript has not been published elsewhere and is not under consideration by any other journal. All authors have approved the manuscript and agree with its submission.</w:t>
      </w:r>
    </w:p>
    <w:p>
      <w:pPr>
        <w:pStyle w:val="BodyText"/>
      </w:pPr>
      <w:r>
        <w:t xml:space="preserve">We look forward to your response.</w:t>
      </w:r>
    </w:p>
    <w:p>
      <w:pPr>
        <w:pStyle w:val="BodyText"/>
      </w:pPr>
      <w:r>
        <w:t xml:space="preserve">Sincerely,</w:t>
      </w:r>
      <w:r>
        <w:t xml:space="preserve"> </w:t>
      </w:r>
      <w:r>
        <w:t xml:space="preserve">[Authors]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2026-03-20T10:52:55Z</dcterms:created>
  <dcterms:modified xsi:type="dcterms:W3CDTF">2026-03-20T10:52:55Z</dcterms:modified>
</cp:coreProperties>
</file>

<file path=docProps/custom.xml><?xml version="1.0" encoding="utf-8"?>
<Properties xmlns="http://schemas.openxmlformats.org/officeDocument/2006/custom-properties" xmlns:vt="http://schemas.openxmlformats.org/officeDocument/2006/docPropsVTypes"/>
</file>