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arch-highlights"/>
    <w:p>
      <w:pPr>
        <w:pStyle w:val="Heading1"/>
      </w:pPr>
      <w:r>
        <w:t xml:space="preserve">Research Highlights</w:t>
      </w:r>
    </w:p>
    <w:p>
      <w:pPr>
        <w:numPr>
          <w:ilvl w:val="0"/>
          <w:numId w:val="1001"/>
        </w:numPr>
      </w:pPr>
      <w:r>
        <w:t xml:space="preserve">AI-enabled synthetic user research is operationalised as a micro-sensing capability at the front end of innovation, grounded in the knowledge-based view of the firm</w:t>
      </w:r>
    </w:p>
    <w:p>
      <w:pPr>
        <w:numPr>
          <w:ilvl w:val="0"/>
          <w:numId w:val="1001"/>
        </w:numPr>
      </w:pPr>
      <w:r>
        <w:t xml:space="preserve">Composite personas combining HuggingFace FinePersonas with Synthea EHR data produce clinically grounded synthetic participants for questionnaire stress-testing across 355 interview sessions</w:t>
      </w:r>
    </w:p>
    <w:p>
      <w:pPr>
        <w:numPr>
          <w:ilvl w:val="0"/>
          <w:numId w:val="1001"/>
        </w:numPr>
      </w:pPr>
      <w:r>
        <w:t xml:space="preserve">Comparative evaluation of five questionnaire strategies identifies the expectation-perception gap approach as optimal for surfacing latent dimensions in maternity-care user research (H = 23.313, p = 0.001)</w:t>
      </w:r>
    </w:p>
    <w:p>
      <w:pPr>
        <w:numPr>
          <w:ilvl w:val="0"/>
          <w:numId w:val="1001"/>
        </w:numPr>
      </w:pPr>
      <w:r>
        <w:t xml:space="preserve">Multi-provider inter-rater reliability (ICC = 0.903) and adversarial robustness testing across five vulnerable population profiles (100% pass rate) validate the methodology</w:t>
      </w:r>
    </w:p>
    <w:p>
      <w:pPr>
        <w:numPr>
          <w:ilvl w:val="0"/>
          <w:numId w:val="1001"/>
        </w:numPr>
      </w:pPr>
      <w:r>
        <w:t xml:space="preserve">Service gap analysis reveals 442 gaps and 584 innovation opportunities, with digital tools, care coordination, and emotional support as the top three maternity-care innovation areas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2026-03-20T10:52:56Z</dcterms:created>
  <dcterms:modified xsi:type="dcterms:W3CDTF">2026-03-20T10:52:56Z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