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ppendix-a-ai-governance-and-disclosure"/>
    <w:p>
      <w:pPr>
        <w:pStyle w:val="Heading1"/>
      </w:pPr>
      <w:r>
        <w:t xml:space="preserve">Appendix A: AI Governance and Disclosure</w:t>
      </w:r>
    </w:p>
    <w:p>
      <w:pPr>
        <w:pStyle w:val="FirstParagraph"/>
      </w:pPr>
      <w:r>
        <w:t xml:space="preserve">This appendix documents the AI models, costs, and governance measures</w:t>
      </w:r>
      <w:r>
        <w:t xml:space="preserve"> </w:t>
      </w:r>
      <w:r>
        <w:t xml:space="preserve">employed throughout the synthetic maternity research pipeline.</w:t>
      </w:r>
    </w:p>
    <w:bookmarkStart w:id="20" w:name="pipeline-summary"/>
    <w:p>
      <w:pPr>
        <w:pStyle w:val="Heading2"/>
      </w:pPr>
      <w:r>
        <w:t xml:space="preserve">Pipeline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pipeline iterations:</w:t>
      </w:r>
      <w:r>
        <w:t xml:space="preserve"> </w:t>
      </w:r>
      <w:r>
        <w:t xml:space="preserve">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sessions run:</w:t>
      </w:r>
      <w:r>
        <w:t xml:space="preserve"> </w:t>
      </w:r>
      <w:r>
        <w:t xml:space="preserve">355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personas used:</w:t>
      </w:r>
      <w:r>
        <w:t xml:space="preserve"> </w:t>
      </w:r>
      <w:r>
        <w:t xml:space="preserve">150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cost (USD):</w:t>
      </w:r>
      <w:r>
        <w:t xml:space="preserve"> </w:t>
      </w:r>
      <w:r>
        <w:t xml:space="preserve">$0.6371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Saturation reached:</w:t>
      </w:r>
      <w:r>
        <w:t xml:space="preserve"> </w:t>
      </w:r>
      <w:r>
        <w:t xml:space="preserve">False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Robustness verdict:</w:t>
      </w:r>
      <w:r>
        <w:t xml:space="preserve"> </w:t>
      </w:r>
      <w:r>
        <w:t xml:space="preserve">Robust across vulnerable populations</w:t>
      </w:r>
    </w:p>
    <w:bookmarkEnd w:id="20"/>
    <w:bookmarkStart w:id="21" w:name="models-used"/>
    <w:p>
      <w:pPr>
        <w:pStyle w:val="Heading2"/>
      </w:pPr>
      <w:r>
        <w:t xml:space="preserve">Models Used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Model /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quality_scoring</w:t>
            </w:r>
          </w:p>
        </w:tc>
        <w:tc>
          <w:p>
            <w:pPr>
              <w:pStyle w:val="Compact"/>
              <w:jc w:val="left"/>
            </w:pPr>
            <w:r>
              <w:t xml:space="preserve">google/gemini-3-flash-preview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interviewer</w:t>
            </w:r>
          </w:p>
        </w:tc>
        <w:tc>
          <w:p>
            <w:pPr>
              <w:pStyle w:val="Compact"/>
              <w:jc w:val="left"/>
            </w:pPr>
            <w:r>
              <w:t xml:space="preserve">openai/gpt-5-mini-2025-08-07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persona_roleplay</w:t>
            </w:r>
          </w:p>
        </w:tc>
        <w:tc>
          <w:p>
            <w:pPr>
              <w:pStyle w:val="Compact"/>
              <w:jc w:val="left"/>
            </w:pPr>
            <w:r>
              <w:t xml:space="preserve">multi-provider rotation</w:t>
            </w:r>
          </w:p>
        </w:tc>
      </w:tr>
    </w:tbl>
    <w:bookmarkEnd w:id="21"/>
    <w:bookmarkStart w:id="22" w:name="model-providers-and-tiers"/>
    <w:p>
      <w:pPr>
        <w:pStyle w:val="Heading2"/>
      </w:pPr>
      <w:r>
        <w:t xml:space="preserve">Model Providers and Tiers</w:t>
      </w:r>
    </w:p>
    <w:p>
      <w:pPr>
        <w:pStyle w:val="FirstParagraph"/>
      </w:pPr>
      <w:r>
        <w:t xml:space="preserve">The pipeline employs a three-provider, three-tier architecture: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56"/>
        <w:gridCol w:w="2323"/>
        <w:gridCol w:w="2217"/>
        <w:gridCol w:w="2323"/>
      </w:tblGrid>
      <w:tr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INTENSO (high quality)</w:t>
            </w:r>
          </w:p>
        </w:tc>
        <w:tc>
          <w:p>
            <w:pPr>
              <w:pStyle w:val="Compact"/>
              <w:jc w:val="left"/>
            </w:pPr>
            <w:r>
              <w:t xml:space="preserve">MODERADO (balanced)</w:t>
            </w:r>
          </w:p>
        </w:tc>
        <w:tc>
          <w:p>
            <w:pPr>
              <w:pStyle w:val="Compact"/>
              <w:jc w:val="left"/>
            </w:pPr>
            <w:r>
              <w:t xml:space="preserve">BAIXO (cost-efficient)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claude-opus-4-6</w:t>
            </w:r>
          </w:p>
        </w:tc>
        <w:tc>
          <w:p>
            <w:pPr>
              <w:pStyle w:val="Compact"/>
              <w:jc w:val="left"/>
            </w:pPr>
            <w:r>
              <w:t xml:space="preserve">claude-sonnet-4-6</w:t>
            </w:r>
          </w:p>
        </w:tc>
        <w:tc>
          <w:p>
            <w:pPr>
              <w:pStyle w:val="Compact"/>
              <w:jc w:val="left"/>
            </w:pPr>
            <w:r>
              <w:t xml:space="preserve">claude-haiku-4-5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gpt-5.4-pro-2026-03-05</w:t>
            </w:r>
          </w:p>
        </w:tc>
        <w:tc>
          <w:p>
            <w:pPr>
              <w:pStyle w:val="Compact"/>
              <w:jc w:val="left"/>
            </w:pPr>
            <w:r>
              <w:t xml:space="preserve">gpt-5.4-2026-03-05</w:t>
            </w:r>
          </w:p>
        </w:tc>
        <w:tc>
          <w:p>
            <w:pPr>
              <w:pStyle w:val="Compact"/>
              <w:jc w:val="left"/>
            </w:pPr>
            <w:r>
              <w:t xml:space="preserve">gpt-5-mini-2025-08-07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gemini-3.1-pro-preview</w:t>
            </w:r>
          </w:p>
        </w:tc>
        <w:tc>
          <w:p>
            <w:pPr>
              <w:pStyle w:val="Compact"/>
              <w:jc w:val="left"/>
            </w:pPr>
            <w:r>
              <w:t xml:space="preserve">gemini-3-flash-preview</w:t>
            </w:r>
          </w:p>
        </w:tc>
        <w:tc>
          <w:p>
            <w:pPr>
              <w:pStyle w:val="Compact"/>
              <w:jc w:val="left"/>
            </w:pPr>
            <w:r>
              <w:t xml:space="preserve">gemini-3.1-flash-lite-preview</w:t>
            </w:r>
          </w:p>
        </w:tc>
      </w:tr>
    </w:tbl>
    <w:bookmarkEnd w:id="22"/>
    <w:bookmarkStart w:id="23" w:name="refinement-impact"/>
    <w:p>
      <w:pPr>
        <w:pStyle w:val="Heading2"/>
      </w:pPr>
      <w:r>
        <w:t xml:space="preserve">Refinement Impact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Richness improvement:</w:t>
      </w:r>
      <w:r>
        <w:t xml:space="preserve"> </w:t>
      </w:r>
      <w:r>
        <w:t xml:space="preserve">36.9%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Surfacing rate improvement:</w:t>
      </w:r>
      <w:r>
        <w:t xml:space="preserve"> </w:t>
      </w:r>
      <w:r>
        <w:t xml:space="preserve">22.5%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Blind spots resolved:</w:t>
      </w:r>
      <w:r>
        <w:t xml:space="preserve"> </w:t>
      </w:r>
      <w:r>
        <w:t xml:space="preserve">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Blind spots remaining:</w:t>
      </w:r>
      <w:r>
        <w:t xml:space="preserve"> </w:t>
      </w:r>
      <w:r>
        <w:t xml:space="preserve">2</w:t>
      </w:r>
    </w:p>
    <w:bookmarkEnd w:id="23"/>
    <w:bookmarkStart w:id="24" w:name="governance-measures"/>
    <w:p>
      <w:pPr>
        <w:pStyle w:val="Heading2"/>
      </w:pPr>
      <w:r>
        <w:t xml:space="preserve">Governance Measures</w:t>
      </w:r>
    </w:p>
    <w:p>
      <w:pPr>
        <w:numPr>
          <w:ilvl w:val="0"/>
          <w:numId w:val="1003"/>
        </w:numPr>
        <w:pStyle w:val="Compact"/>
      </w:pPr>
      <w:r>
        <w:t xml:space="preserve">All prompts archived</w:t>
      </w:r>
    </w:p>
    <w:p>
      <w:pPr>
        <w:numPr>
          <w:ilvl w:val="0"/>
          <w:numId w:val="1003"/>
        </w:numPr>
        <w:pStyle w:val="Compact"/>
      </w:pPr>
      <w:r>
        <w:t xml:space="preserve">Audit trail for every modification</w:t>
      </w:r>
    </w:p>
    <w:p>
      <w:pPr>
        <w:numPr>
          <w:ilvl w:val="0"/>
          <w:numId w:val="1003"/>
        </w:numPr>
        <w:pStyle w:val="Compact"/>
      </w:pPr>
      <w:r>
        <w:t xml:space="preserve">Multi-provider inter-rater validation</w:t>
      </w:r>
    </w:p>
    <w:p>
      <w:pPr>
        <w:numPr>
          <w:ilvl w:val="0"/>
          <w:numId w:val="1003"/>
        </w:numPr>
        <w:pStyle w:val="Compact"/>
      </w:pPr>
      <w:r>
        <w:t xml:space="preserve">Adversarial robustness testing</w:t>
      </w:r>
    </w:p>
    <w:p>
      <w:pPr>
        <w:numPr>
          <w:ilvl w:val="0"/>
          <w:numId w:val="1003"/>
        </w:numPr>
        <w:pStyle w:val="Compact"/>
      </w:pPr>
      <w:r>
        <w:t xml:space="preserve">Synthetic-only data (no real patients)</w:t>
      </w:r>
    </w:p>
    <w:p>
      <w:pPr>
        <w:numPr>
          <w:ilvl w:val="0"/>
          <w:numId w:val="1003"/>
        </w:numPr>
        <w:pStyle w:val="Compact"/>
      </w:pPr>
      <w:r>
        <w:t xml:space="preserve">Cost tracking per call</w:t>
      </w:r>
    </w:p>
    <w:p>
      <w:pPr>
        <w:numPr>
          <w:ilvl w:val="0"/>
          <w:numId w:val="1003"/>
        </w:numPr>
        <w:pStyle w:val="Compact"/>
      </w:pPr>
      <w:r>
        <w:t xml:space="preserve">Timestamped outputs — no data overwritten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2026-03-20T10:52:59Z</dcterms:created>
  <dcterms:modified xsi:type="dcterms:W3CDTF">2026-03-20T10:52:59Z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