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3666" w14:textId="77777777" w:rsidR="00435509" w:rsidRDefault="00435509"/>
    <w:p w14:paraId="0984526C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Even at the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cost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, moving from Proofpoint + MSP/RMM + multiple point tools to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(F3/E5) + Defender for Endpoint P2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is better because you’re not just buying features—you’re buying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outcomes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: fewer handoffs, fewer seams, and a single operating model across security, endpoint management, and service delivery.</w:t>
      </w:r>
    </w:p>
    <w:p w14:paraId="345AC1C4" w14:textId="77777777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advantage statement (detailed)</w:t>
      </w:r>
    </w:p>
    <w:p w14:paraId="18C84F74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At the same price point, consolidating onto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(F3/E5) with Microsoft Defender for Endpoint P2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creates value by turning a collection of tools into a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cohesive operating platform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. You gain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identity-driven control plane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telemetry backbone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governance model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that supports standardized ITSM, change control, and enterprise architecture—reducing risk and operating friction created by multiple providers, overlapping agents, and disconnected workflows. The result is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incident resolution, cleaner audits, more predictable change outcomes, and lower “hidden” labor cost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, even when licensing spend is flat.</w:t>
      </w:r>
    </w:p>
    <w:p w14:paraId="579CC10C" w14:textId="77777777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it’s better </w:t>
      </w:r>
      <w:r w:rsidRPr="006863E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even if cost is equal</w:t>
      </w:r>
    </w:p>
    <w:p w14:paraId="33A6D422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Fewer seams = fewer failures</w:t>
      </w:r>
    </w:p>
    <w:p w14:paraId="2224EFF9" w14:textId="77777777" w:rsidR="006863E7" w:rsidRPr="006863E7" w:rsidRDefault="006863E7" w:rsidP="00686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Multi-vendor stacks fail at the boundaries: email → identity → endpoint → SaaS.</w:t>
      </w:r>
    </w:p>
    <w:p w14:paraId="7E16F234" w14:textId="77777777" w:rsidR="006863E7" w:rsidRPr="006863E7" w:rsidRDefault="006863E7" w:rsidP="00686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A unified Microsoft stack reduces “integration debt” (connectors, API breaks, version drift, alert duplication, missed correlations) and the operational risk that comes with it.</w:t>
      </w:r>
    </w:p>
    <w:p w14:paraId="5156B16C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A single security narrative and response path</w:t>
      </w:r>
    </w:p>
    <w:p w14:paraId="05E151E2" w14:textId="77777777" w:rsidR="006863E7" w:rsidRPr="006863E7" w:rsidRDefault="006863E7" w:rsidP="00686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With disparate systems, you manage </w:t>
      </w:r>
      <w:r w:rsidRPr="006863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alerts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. With a unified stack, you manage </w:t>
      </w:r>
      <w:r w:rsidRPr="006863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incidents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end-to-end.</w:t>
      </w:r>
    </w:p>
    <w:p w14:paraId="300EEFD1" w14:textId="77777777" w:rsidR="006863E7" w:rsidRPr="006863E7" w:rsidRDefault="006863E7" w:rsidP="00686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MDE P2 plus Microsoft 365 security signals enable consistent triage, investigation, and containment workflows—fewer swivel-chair steps and less ambiguity about “who owns what.”</w:t>
      </w:r>
    </w:p>
    <w:p w14:paraId="4812FEEA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Governance and change control become enforceable, not aspirational</w:t>
      </w:r>
    </w:p>
    <w:p w14:paraId="1BCA369E" w14:textId="77777777" w:rsidR="006863E7" w:rsidRPr="006863E7" w:rsidRDefault="006863E7" w:rsidP="00686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When controls span multiple providers, change control becomes negotiation and documentation-heavy (and often inconsistent).</w:t>
      </w:r>
    </w:p>
    <w:p w14:paraId="379E1C8C" w14:textId="77777777" w:rsidR="006863E7" w:rsidRPr="006863E7" w:rsidRDefault="006863E7" w:rsidP="00686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With one platform, you can standardize:</w:t>
      </w:r>
    </w:p>
    <w:p w14:paraId="47B9F5D5" w14:textId="77777777" w:rsidR="006863E7" w:rsidRPr="006863E7" w:rsidRDefault="006863E7" w:rsidP="006863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Policy-as-configuration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(baseline security settings, device compliance, access requirements)</w:t>
      </w:r>
    </w:p>
    <w:p w14:paraId="4418D774" w14:textId="77777777" w:rsidR="006863E7" w:rsidRPr="006863E7" w:rsidRDefault="006863E7" w:rsidP="006863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rollouts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(pilot rings, staged deployment, rollback patterns)</w:t>
      </w:r>
    </w:p>
    <w:p w14:paraId="080E4646" w14:textId="77777777" w:rsidR="006863E7" w:rsidRPr="006863E7" w:rsidRDefault="006863E7" w:rsidP="006863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Measurable outcomes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(compliance posture, exposure score, patch and configuration drift)</w:t>
      </w:r>
    </w:p>
    <w:p w14:paraId="26AAA9B2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Enterprise architecture benefits: standard patterns, fewer exceptions</w:t>
      </w:r>
    </w:p>
    <w:p w14:paraId="7C3CE954" w14:textId="77777777" w:rsidR="006863E7" w:rsidRPr="006863E7" w:rsidRDefault="006863E7" w:rsidP="00686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single platform enables repeatable reference architectures for:</w:t>
      </w:r>
    </w:p>
    <w:p w14:paraId="47D02949" w14:textId="77777777" w:rsidR="006863E7" w:rsidRPr="006863E7" w:rsidRDefault="006863E7" w:rsidP="006863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Identity and access patterns (join types, conditional access patterns, privileged access)</w:t>
      </w:r>
    </w:p>
    <w:p w14:paraId="17CCB368" w14:textId="77777777" w:rsidR="006863E7" w:rsidRPr="006863E7" w:rsidRDefault="006863E7" w:rsidP="006863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Endpoint baselines and compliance models</w:t>
      </w:r>
    </w:p>
    <w:p w14:paraId="230B671D" w14:textId="77777777" w:rsidR="006863E7" w:rsidRPr="006863E7" w:rsidRDefault="006863E7" w:rsidP="006863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Security logging/retention strategy and incident workflows</w:t>
      </w:r>
    </w:p>
    <w:p w14:paraId="077F7E35" w14:textId="77777777" w:rsidR="006863E7" w:rsidRPr="006863E7" w:rsidRDefault="006863E7" w:rsidP="00686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Fewer exceptions = lower long-term cost and fewer “one-off” support scenarios.</w:t>
      </w:r>
    </w:p>
    <w:p w14:paraId="41197359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ITSM integration gets simpler and more reliable</w:t>
      </w:r>
    </w:p>
    <w:p w14:paraId="086AEABD" w14:textId="77777777" w:rsidR="006863E7" w:rsidRPr="006863E7" w:rsidRDefault="006863E7" w:rsidP="00686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In multi-platform environments, ITSM is glued together via connectors and custom mappings that degrade over time.</w:t>
      </w:r>
    </w:p>
    <w:p w14:paraId="08BBFA21" w14:textId="77777777" w:rsidR="006863E7" w:rsidRPr="006863E7" w:rsidRDefault="006863E7" w:rsidP="00686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With a unified provider and standardized data models, you can better align:</w:t>
      </w:r>
    </w:p>
    <w:p w14:paraId="2E777092" w14:textId="77777777" w:rsidR="006863E7" w:rsidRPr="006863E7" w:rsidRDefault="006863E7" w:rsidP="006863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Incident creation/routing and enrichment</w:t>
      </w:r>
    </w:p>
    <w:p w14:paraId="37266DCD" w14:textId="77777777" w:rsidR="006863E7" w:rsidRPr="006863E7" w:rsidRDefault="006863E7" w:rsidP="006863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Asset/inventory accuracy</w:t>
      </w:r>
    </w:p>
    <w:p w14:paraId="584F265E" w14:textId="77777777" w:rsidR="006863E7" w:rsidRPr="006863E7" w:rsidRDefault="006863E7" w:rsidP="006863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Change impact analysis (what devices/users/apps are affected)</w:t>
      </w:r>
    </w:p>
    <w:p w14:paraId="6F7FB644" w14:textId="77777777" w:rsidR="006863E7" w:rsidRPr="006863E7" w:rsidRDefault="006863E7" w:rsidP="006863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Problem management trends (repeat offender detection with consistent taxonomy)</w:t>
      </w:r>
    </w:p>
    <w:p w14:paraId="118051E8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Less vendor management overhead</w:t>
      </w:r>
    </w:p>
    <w:p w14:paraId="02D2E6DC" w14:textId="77777777" w:rsidR="006863E7" w:rsidRPr="006863E7" w:rsidRDefault="006863E7" w:rsidP="00686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Same license dollars, but fewer hidden costs:</w:t>
      </w:r>
    </w:p>
    <w:p w14:paraId="6FEF3486" w14:textId="77777777" w:rsidR="006863E7" w:rsidRPr="006863E7" w:rsidRDefault="006863E7" w:rsidP="006863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Fewer renewals, vendor security reviews, DPAs, procurement cycles</w:t>
      </w:r>
    </w:p>
    <w:p w14:paraId="46BEF823" w14:textId="77777777" w:rsidR="006863E7" w:rsidRPr="006863E7" w:rsidRDefault="006863E7" w:rsidP="006863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Fewer support contracts and escalations</w:t>
      </w:r>
    </w:p>
    <w:p w14:paraId="27422012" w14:textId="77777777" w:rsidR="006863E7" w:rsidRPr="006863E7" w:rsidRDefault="006863E7" w:rsidP="006863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Clearer accountability (one throat to choke when things break)</w:t>
      </w:r>
    </w:p>
    <w:p w14:paraId="2ED525B6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7) Reduced operational complexity on endpoints</w:t>
      </w:r>
    </w:p>
    <w:p w14:paraId="4214826C" w14:textId="77777777" w:rsidR="006863E7" w:rsidRPr="006863E7" w:rsidRDefault="006863E7" w:rsidP="006863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Multiple agents and overlapping controls increase performance impact and create policy collisions.</w:t>
      </w:r>
    </w:p>
    <w:p w14:paraId="27DC31C4" w14:textId="77777777" w:rsidR="006863E7" w:rsidRPr="006863E7" w:rsidRDefault="006863E7" w:rsidP="006863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Consolidation reduces endpoint overhead and improves reliability (fewer drivers/services, fewer update channels, fewer false positives created by tool interactions).</w:t>
      </w:r>
    </w:p>
    <w:p w14:paraId="456DFF73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8) More predictable security and support maturity</w:t>
      </w:r>
    </w:p>
    <w:p w14:paraId="27EDB10D" w14:textId="77777777" w:rsidR="006863E7" w:rsidRPr="006863E7" w:rsidRDefault="006863E7" w:rsidP="006863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MSP/RMM stacks often vary by technician workflow and tool sprawl.</w:t>
      </w:r>
    </w:p>
    <w:p w14:paraId="64AE0421" w14:textId="77777777" w:rsidR="006863E7" w:rsidRPr="006863E7" w:rsidRDefault="006863E7" w:rsidP="006863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A unified Microsoft-first model supports standardized operating procedures, training, and measurable maturity progression (repeatable runbooks, consistent reporting, common role definitions).</w:t>
      </w:r>
    </w:p>
    <w:p w14:paraId="02E15FFA" w14:textId="77777777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“board-ready” closer</w:t>
      </w:r>
    </w:p>
    <w:p w14:paraId="1B2BA236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Even at equal cost, consolidation wins because it reduces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and friction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: one platform means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control plane, one data story, one governance model, and one accountable provider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>—which improves security outcomes and operational reliability while lowering the hidden labor cost of tool sprawl.</w:t>
      </w:r>
    </w:p>
    <w:p w14:paraId="218D2DDA" w14:textId="06C481C8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1) One-paragraph RFP response</w:t>
      </w:r>
    </w:p>
    <w:p w14:paraId="4024D664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Standardizing on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(F3/E5) with Microsoft Defender for Endpoint P2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delivers greater value than Proofpoint plus disparate MSP/RMM point tools—even at the same cost—because it consolidates security, management, and governance into a single, identity-driven platform. Instead of stitching together multiple consoles, agents, integrations, and vendors, the organization gains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control plane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telemetry backbone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operating model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for endpoint posture, threat detection/response, and policy enforcement. This reduces integration debt and handoffs, improves incident resolution speed through consistent workflows and shared signals, and strengthens </w:t>
      </w: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ITSM alignment and change control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via standardized configurations, staged rollouts, and measurable compliance outcomes. The net benefit is lower operational friction and risk, stronger auditability, clearer accountability, and a more repeatable enterprise architecture—without increasing licensing spend.</w:t>
      </w:r>
    </w:p>
    <w:p w14:paraId="60419E22" w14:textId="77777777" w:rsidR="006863E7" w:rsidRPr="006863E7" w:rsidRDefault="00000000" w:rsidP="006863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DB7012">
          <v:rect id="_x0000_i1025" style="width:0;height:1.5pt" o:hralign="center" o:hrstd="t" o:hr="t" fillcolor="#a0a0a0" stroked="f"/>
        </w:pict>
      </w:r>
    </w:p>
    <w:p w14:paraId="505C5618" w14:textId="77777777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Slide-ready (6 bullets)</w:t>
      </w:r>
    </w:p>
    <w:p w14:paraId="015FA519" w14:textId="77777777" w:rsidR="006863E7" w:rsidRPr="006863E7" w:rsidRDefault="006863E7" w:rsidP="0068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unified Microsoft platform wins at equal cost (M365 F3/E5 + MDE P2)</w:t>
      </w:r>
    </w:p>
    <w:p w14:paraId="4D4D6368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control plane: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identity + device governance vs. fragmented policies across tools/vendors</w:t>
      </w:r>
    </w:p>
    <w:p w14:paraId="2CEB76E2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telemetry story: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correlated signals reduce blind spots and duplicate alerts</w:t>
      </w:r>
    </w:p>
    <w:p w14:paraId="603C82D5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response: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incident workflow and containment actions vs. swivel-chair triage</w:t>
      </w:r>
    </w:p>
    <w:p w14:paraId="0C741134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 you can enforce: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ring-based rollouts, baselines, rollback patterns, measurable compliance</w:t>
      </w:r>
    </w:p>
    <w:p w14:paraId="5BC4B9FA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ITSM alignment improves: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cleaner incident enrichment, asset/inventory consistency, clearer ownership/escalation paths</w:t>
      </w:r>
    </w:p>
    <w:p w14:paraId="251F8D9B" w14:textId="77777777" w:rsidR="006863E7" w:rsidRPr="006863E7" w:rsidRDefault="006863E7" w:rsidP="006863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operational overhead:</w:t>
      </w:r>
      <w:r w:rsidRPr="006863E7">
        <w:rPr>
          <w:rFonts w:ascii="Times New Roman" w:eastAsia="Times New Roman" w:hAnsi="Times New Roman" w:cs="Times New Roman"/>
          <w:kern w:val="0"/>
          <w14:ligatures w14:val="none"/>
        </w:rPr>
        <w:t xml:space="preserve"> fewer agents/integrations/contracts, reduced vendor risk, single accountable provider</w:t>
      </w:r>
    </w:p>
    <w:p w14:paraId="4688285C" w14:textId="77777777" w:rsidR="006863E7" w:rsidRPr="006863E7" w:rsidRDefault="00000000" w:rsidP="006863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6735B5">
          <v:rect id="_x0000_i1026" style="width:0;height:1.5pt" o:hralign="center" o:hrstd="t" o:hr="t" fillcolor="#a0a0a0" stroked="f"/>
        </w:pict>
      </w:r>
    </w:p>
    <w:p w14:paraId="70811BF9" w14:textId="77777777" w:rsidR="006863E7" w:rsidRPr="006863E7" w:rsidRDefault="006863E7" w:rsidP="00686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63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Before/After comparison table (Security + Ops + EA + ITSM + Change Control + Audit)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54"/>
        <w:gridCol w:w="2364"/>
        <w:gridCol w:w="1942"/>
      </w:tblGrid>
      <w:tr w:rsidR="006863E7" w:rsidRPr="006863E7" w14:paraId="205B8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1565" w14:textId="77777777" w:rsidR="006863E7" w:rsidRPr="006863E7" w:rsidRDefault="006863E7" w:rsidP="00686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1099EF" w14:textId="77777777" w:rsidR="006863E7" w:rsidRPr="006863E7" w:rsidRDefault="006863E7" w:rsidP="00686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Multi-provider / Multi-platform (Proofpoint + MSP/RMM + point tools)</w:t>
            </w:r>
          </w:p>
        </w:tc>
        <w:tc>
          <w:tcPr>
            <w:tcW w:w="0" w:type="auto"/>
            <w:vAlign w:val="center"/>
            <w:hideMark/>
          </w:tcPr>
          <w:p w14:paraId="1DEE424A" w14:textId="77777777" w:rsidR="006863E7" w:rsidRPr="006863E7" w:rsidRDefault="006863E7" w:rsidP="00686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Unified provider &amp; platform (M365 F3/E5 + MDE P2)</w:t>
            </w:r>
          </w:p>
        </w:tc>
        <w:tc>
          <w:tcPr>
            <w:tcW w:w="0" w:type="auto"/>
            <w:vAlign w:val="center"/>
            <w:hideMark/>
          </w:tcPr>
          <w:p w14:paraId="5871C9E7" w14:textId="77777777" w:rsidR="006863E7" w:rsidRPr="006863E7" w:rsidRDefault="006863E7" w:rsidP="00686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it’s better at same cost</w:t>
            </w:r>
          </w:p>
        </w:tc>
      </w:tr>
      <w:tr w:rsidR="006863E7" w:rsidRPr="006863E7" w14:paraId="02D25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4104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visibility</w:t>
            </w:r>
          </w:p>
        </w:tc>
        <w:tc>
          <w:tcPr>
            <w:tcW w:w="0" w:type="auto"/>
            <w:vAlign w:val="center"/>
            <w:hideMark/>
          </w:tcPr>
          <w:p w14:paraId="0DB12068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telemetry streams; correlation depends on integrations/analyst effort</w:t>
            </w:r>
          </w:p>
        </w:tc>
        <w:tc>
          <w:tcPr>
            <w:tcW w:w="0" w:type="auto"/>
            <w:vAlign w:val="center"/>
            <w:hideMark/>
          </w:tcPr>
          <w:p w14:paraId="5F34E343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identity + endpoint context; consistent event model</w:t>
            </w:r>
          </w:p>
        </w:tc>
        <w:tc>
          <w:tcPr>
            <w:tcW w:w="0" w:type="auto"/>
            <w:vAlign w:val="center"/>
            <w:hideMark/>
          </w:tcPr>
          <w:p w14:paraId="0AFF64FF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blind spots and faster root cause</w:t>
            </w:r>
          </w:p>
        </w:tc>
      </w:tr>
      <w:tr w:rsidR="006863E7" w:rsidRPr="006863E7" w14:paraId="79CD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49AB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B5CFE11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consoles; manual handoffs between email/identity/endpoint</w:t>
            </w:r>
          </w:p>
        </w:tc>
        <w:tc>
          <w:tcPr>
            <w:tcW w:w="0" w:type="auto"/>
            <w:vAlign w:val="center"/>
            <w:hideMark/>
          </w:tcPr>
          <w:p w14:paraId="098B8D99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operational workflow; consistent investigation path</w:t>
            </w:r>
          </w:p>
        </w:tc>
        <w:tc>
          <w:tcPr>
            <w:tcW w:w="0" w:type="auto"/>
            <w:vAlign w:val="center"/>
            <w:hideMark/>
          </w:tcPr>
          <w:p w14:paraId="49C3DBA2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dwell time, fewer missed steps</w:t>
            </w:r>
          </w:p>
        </w:tc>
      </w:tr>
      <w:tr w:rsidR="006863E7" w:rsidRPr="006863E7" w14:paraId="5E3C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855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 agents &amp; stability</w:t>
            </w:r>
          </w:p>
        </w:tc>
        <w:tc>
          <w:tcPr>
            <w:tcW w:w="0" w:type="auto"/>
            <w:vAlign w:val="center"/>
            <w:hideMark/>
          </w:tcPr>
          <w:p w14:paraId="7CFBCA4C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Overlapping agents, drivers, update cycles; tool conflicts</w:t>
            </w:r>
          </w:p>
        </w:tc>
        <w:tc>
          <w:tcPr>
            <w:tcW w:w="0" w:type="auto"/>
            <w:vAlign w:val="center"/>
            <w:hideMark/>
          </w:tcPr>
          <w:p w14:paraId="628CC86F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Consolidation reduces overlaps and drift</w:t>
            </w:r>
          </w:p>
        </w:tc>
        <w:tc>
          <w:tcPr>
            <w:tcW w:w="0" w:type="auto"/>
            <w:vAlign w:val="center"/>
            <w:hideMark/>
          </w:tcPr>
          <w:p w14:paraId="4DF229DB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stable endpoints + less admin toil</w:t>
            </w:r>
          </w:p>
        </w:tc>
      </w:tr>
      <w:tr w:rsidR="006863E7" w:rsidRPr="006863E7" w14:paraId="51D5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638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496E8FD5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controls by tool; exceptions proliferate</w:t>
            </w:r>
          </w:p>
        </w:tc>
        <w:tc>
          <w:tcPr>
            <w:tcW w:w="0" w:type="auto"/>
            <w:vAlign w:val="center"/>
            <w:hideMark/>
          </w:tcPr>
          <w:p w14:paraId="3190AB08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Identity-driven enforcement and standardized baselines</w:t>
            </w:r>
          </w:p>
        </w:tc>
        <w:tc>
          <w:tcPr>
            <w:tcW w:w="0" w:type="auto"/>
            <w:vAlign w:val="center"/>
            <w:hideMark/>
          </w:tcPr>
          <w:p w14:paraId="15FE24C8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Predictable controls across user/device states</w:t>
            </w:r>
          </w:p>
        </w:tc>
      </w:tr>
      <w:tr w:rsidR="006863E7" w:rsidRPr="006863E7" w14:paraId="0CE1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7103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ITSM integration</w:t>
            </w:r>
          </w:p>
        </w:tc>
        <w:tc>
          <w:tcPr>
            <w:tcW w:w="0" w:type="auto"/>
            <w:vAlign w:val="center"/>
            <w:hideMark/>
          </w:tcPr>
          <w:p w14:paraId="26052B7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Connector-heavy; mappings break; inconsistent taxonomy</w:t>
            </w:r>
          </w:p>
        </w:tc>
        <w:tc>
          <w:tcPr>
            <w:tcW w:w="0" w:type="auto"/>
            <w:vAlign w:val="center"/>
            <w:hideMark/>
          </w:tcPr>
          <w:p w14:paraId="2F61A151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consistent signals + ownership model; easier enrichment</w:t>
            </w:r>
          </w:p>
        </w:tc>
        <w:tc>
          <w:tcPr>
            <w:tcW w:w="0" w:type="auto"/>
            <w:vAlign w:val="center"/>
            <w:hideMark/>
          </w:tcPr>
          <w:p w14:paraId="4F766A87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tickets, better routing, better trend analysis</w:t>
            </w:r>
          </w:p>
        </w:tc>
      </w:tr>
      <w:tr w:rsidR="006863E7" w:rsidRPr="006863E7" w14:paraId="700A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E33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control</w:t>
            </w:r>
          </w:p>
        </w:tc>
        <w:tc>
          <w:tcPr>
            <w:tcW w:w="0" w:type="auto"/>
            <w:vAlign w:val="center"/>
            <w:hideMark/>
          </w:tcPr>
          <w:p w14:paraId="3474F459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spread across vendors/tools; hard to coordinate rollouts</w:t>
            </w:r>
          </w:p>
        </w:tc>
        <w:tc>
          <w:tcPr>
            <w:tcW w:w="0" w:type="auto"/>
            <w:vAlign w:val="center"/>
            <w:hideMark/>
          </w:tcPr>
          <w:p w14:paraId="05CED0B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rollout rings, baselines, and measurable outcomes</w:t>
            </w:r>
          </w:p>
        </w:tc>
        <w:tc>
          <w:tcPr>
            <w:tcW w:w="0" w:type="auto"/>
            <w:vAlign w:val="center"/>
            <w:hideMark/>
          </w:tcPr>
          <w:p w14:paraId="6A2A339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change-related incidents, easier rollback</w:t>
            </w:r>
          </w:p>
        </w:tc>
      </w:tr>
      <w:tr w:rsidR="006863E7" w:rsidRPr="006863E7" w14:paraId="5328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5721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202687CC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“one-off” patterns; vendor-specific designs</w:t>
            </w:r>
          </w:p>
        </w:tc>
        <w:tc>
          <w:tcPr>
            <w:tcW w:w="0" w:type="auto"/>
            <w:vAlign w:val="center"/>
            <w:hideMark/>
          </w:tcPr>
          <w:p w14:paraId="01346BC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Repeatable reference architectures and standards</w:t>
            </w:r>
          </w:p>
        </w:tc>
        <w:tc>
          <w:tcPr>
            <w:tcW w:w="0" w:type="auto"/>
            <w:vAlign w:val="center"/>
            <w:hideMark/>
          </w:tcPr>
          <w:p w14:paraId="5317CD38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exceptions = lower long-term cost</w:t>
            </w:r>
          </w:p>
        </w:tc>
      </w:tr>
      <w:tr w:rsidR="006863E7" w:rsidRPr="006863E7" w14:paraId="4E79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C399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audit</w:t>
            </w:r>
          </w:p>
        </w:tc>
        <w:tc>
          <w:tcPr>
            <w:tcW w:w="0" w:type="auto"/>
            <w:vAlign w:val="center"/>
            <w:hideMark/>
          </w:tcPr>
          <w:p w14:paraId="7DFFA250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scattered across portals; manual collection</w:t>
            </w:r>
          </w:p>
        </w:tc>
        <w:tc>
          <w:tcPr>
            <w:tcW w:w="0" w:type="auto"/>
            <w:vAlign w:val="center"/>
            <w:hideMark/>
          </w:tcPr>
          <w:p w14:paraId="5302E02E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reporting posture and consistent controls</w:t>
            </w:r>
          </w:p>
        </w:tc>
        <w:tc>
          <w:tcPr>
            <w:tcW w:w="0" w:type="auto"/>
            <w:vAlign w:val="center"/>
            <w:hideMark/>
          </w:tcPr>
          <w:p w14:paraId="305F2E23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audits and clearer control attestation</w:t>
            </w:r>
          </w:p>
        </w:tc>
      </w:tr>
      <w:tr w:rsidR="006863E7" w:rsidRPr="006863E7" w14:paraId="6A0C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ABD7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101F2688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renewals, security reviews, escalations</w:t>
            </w:r>
          </w:p>
        </w:tc>
        <w:tc>
          <w:tcPr>
            <w:tcW w:w="0" w:type="auto"/>
            <w:vAlign w:val="center"/>
            <w:hideMark/>
          </w:tcPr>
          <w:p w14:paraId="1615F791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contracts and clearer accountability</w:t>
            </w:r>
          </w:p>
        </w:tc>
        <w:tc>
          <w:tcPr>
            <w:tcW w:w="0" w:type="auto"/>
            <w:vAlign w:val="center"/>
            <w:hideMark/>
          </w:tcPr>
          <w:p w14:paraId="63C72614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hidden cost and lower operational risk</w:t>
            </w:r>
          </w:p>
        </w:tc>
      </w:tr>
      <w:tr w:rsidR="006863E7" w:rsidRPr="006863E7" w14:paraId="7AA5F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B1FB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Operating model</w:t>
            </w:r>
          </w:p>
        </w:tc>
        <w:tc>
          <w:tcPr>
            <w:tcW w:w="0" w:type="auto"/>
            <w:vAlign w:val="center"/>
            <w:hideMark/>
          </w:tcPr>
          <w:p w14:paraId="1923A90D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Tool-driven, technician-specific workflows</w:t>
            </w:r>
          </w:p>
        </w:tc>
        <w:tc>
          <w:tcPr>
            <w:tcW w:w="0" w:type="auto"/>
            <w:vAlign w:val="center"/>
            <w:hideMark/>
          </w:tcPr>
          <w:p w14:paraId="08191A6A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Platform-driven, standardized runbooks and training</w:t>
            </w:r>
          </w:p>
        </w:tc>
        <w:tc>
          <w:tcPr>
            <w:tcW w:w="0" w:type="auto"/>
            <w:vAlign w:val="center"/>
            <w:hideMark/>
          </w:tcPr>
          <w:p w14:paraId="4616FAF2" w14:textId="77777777" w:rsidR="006863E7" w:rsidRPr="006863E7" w:rsidRDefault="006863E7" w:rsidP="006863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predictable outcomes and scalability</w:t>
            </w:r>
          </w:p>
        </w:tc>
      </w:tr>
    </w:tbl>
    <w:p w14:paraId="484A8A3E" w14:textId="77777777" w:rsidR="006863E7" w:rsidRDefault="006863E7"/>
    <w:p w14:paraId="236ABEC8" w14:textId="77777777" w:rsidR="00443A37" w:rsidRDefault="00443A37"/>
    <w:p w14:paraId="2FE7603D" w14:textId="77777777" w:rsidR="00443A37" w:rsidRDefault="00443A37"/>
    <w:p w14:paraId="41B6354A" w14:textId="77777777" w:rsidR="00443A37" w:rsidRDefault="00443A37"/>
    <w:p w14:paraId="264CD32B" w14:textId="77777777" w:rsidR="00443A37" w:rsidRDefault="00443A37"/>
    <w:p w14:paraId="035EA16F" w14:textId="77777777" w:rsidR="00443A37" w:rsidRDefault="00443A37"/>
    <w:p w14:paraId="70A093E2" w14:textId="77777777" w:rsidR="00443A37" w:rsidRDefault="00443A37"/>
    <w:p w14:paraId="03993414" w14:textId="0FDE4141" w:rsidR="00443A37" w:rsidRPr="00443A37" w:rsidRDefault="00443A37" w:rsidP="00443A37">
      <w:pPr>
        <w:rPr>
          <w:b/>
          <w:bCs/>
        </w:rPr>
      </w:pPr>
      <w:r w:rsidRPr="00443A37">
        <w:rPr>
          <w:b/>
          <w:bCs/>
        </w:rPr>
        <w:lastRenderedPageBreak/>
        <w:t>1) One-paragraph RFP response</w:t>
      </w:r>
    </w:p>
    <w:p w14:paraId="276F9758" w14:textId="77777777" w:rsidR="00443A37" w:rsidRPr="00443A37" w:rsidRDefault="00443A37" w:rsidP="00443A37">
      <w:r w:rsidRPr="00443A37">
        <w:t xml:space="preserve">Standardizing on </w:t>
      </w:r>
      <w:r w:rsidRPr="00443A37">
        <w:rPr>
          <w:b/>
          <w:bCs/>
        </w:rPr>
        <w:t>Microsoft 365 (F3/E5) with Microsoft Defender for Endpoint P2</w:t>
      </w:r>
      <w:r w:rsidRPr="00443A37">
        <w:t xml:space="preserve"> improves outcomes versus Proofpoint plus disparate MSP/RMM point tools—even at the same cost—because it consolidates identity, productivity, and endpoint security into a </w:t>
      </w:r>
      <w:r w:rsidRPr="00443A37">
        <w:rPr>
          <w:b/>
          <w:bCs/>
        </w:rPr>
        <w:t>single, coherent control plane</w:t>
      </w:r>
      <w:r w:rsidRPr="00443A37">
        <w:t xml:space="preserve"> while keeping </w:t>
      </w:r>
      <w:r w:rsidRPr="00443A37">
        <w:rPr>
          <w:b/>
          <w:bCs/>
        </w:rPr>
        <w:t>ServiceNow</w:t>
      </w:r>
      <w:r w:rsidRPr="00443A37">
        <w:t xml:space="preserve"> as the system of record for ITSM. Instead of relying on brittle, multi-vendor integrations and manual handoffs, you can use </w:t>
      </w:r>
      <w:r w:rsidRPr="00443A37">
        <w:rPr>
          <w:b/>
          <w:bCs/>
        </w:rPr>
        <w:t>supported ServiceNow integrations</w:t>
      </w:r>
      <w:r w:rsidRPr="00443A37">
        <w:t xml:space="preserve"> to ingest Microsoft security signals, enrich incidents with endpoint context, and drive consistent remediation workflows (including Defender for Endpoint ↔ ServiceNow Security Operations/SIR patterns). Consolidation also strengthens governance: fewer tools and providers means fewer conflicting policies, less agent overlap, and a clearer enterprise architecture standard—resulting in </w:t>
      </w:r>
      <w:r w:rsidRPr="00443A37">
        <w:rPr>
          <w:b/>
          <w:bCs/>
        </w:rPr>
        <w:t>more predictable change outcomes</w:t>
      </w:r>
      <w:r w:rsidRPr="00443A37">
        <w:t>, improved auditability, and lower hidden operational cost while license spend remains flat.</w:t>
      </w:r>
    </w:p>
    <w:p w14:paraId="7F0DC7A8" w14:textId="77777777" w:rsidR="00443A37" w:rsidRPr="00443A37" w:rsidRDefault="00443A37" w:rsidP="00443A37">
      <w:r w:rsidRPr="00443A37">
        <w:pict w14:anchorId="13A71D64">
          <v:rect id="_x0000_i1039" style="width:0;height:1.5pt" o:hralign="center" o:hrstd="t" o:hr="t" fillcolor="#a0a0a0" stroked="f"/>
        </w:pict>
      </w:r>
    </w:p>
    <w:p w14:paraId="4EB17D2E" w14:textId="77777777" w:rsidR="00443A37" w:rsidRPr="00443A37" w:rsidRDefault="00443A37" w:rsidP="00443A37">
      <w:pPr>
        <w:rPr>
          <w:b/>
          <w:bCs/>
        </w:rPr>
      </w:pPr>
      <w:r w:rsidRPr="00443A37">
        <w:rPr>
          <w:b/>
          <w:bCs/>
        </w:rPr>
        <w:t>2) Slide-ready (6 bullets)</w:t>
      </w:r>
    </w:p>
    <w:p w14:paraId="0A1C1F03" w14:textId="77777777" w:rsidR="00443A37" w:rsidRPr="00443A37" w:rsidRDefault="00443A37" w:rsidP="00443A37">
      <w:r w:rsidRPr="00443A37">
        <w:rPr>
          <w:b/>
          <w:bCs/>
        </w:rPr>
        <w:t>Why unified Microsoft platform wins at equal cost (with ServiceNow ITSM)</w:t>
      </w:r>
    </w:p>
    <w:p w14:paraId="73DE6CA3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One security + endpoint foundation:</w:t>
      </w:r>
      <w:r w:rsidRPr="00443A37">
        <w:t xml:space="preserve"> identity + endpoint + collaboration aligned under Microsoft 365 / MDE P2, reducing tool seams and drift</w:t>
      </w:r>
    </w:p>
    <w:p w14:paraId="36FA8C0C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ServiceNow stays the workflow hub:</w:t>
      </w:r>
      <w:r w:rsidRPr="00443A37">
        <w:t xml:space="preserve"> incidents/tickets are routed and governed in ServiceNow, but with </w:t>
      </w:r>
      <w:r w:rsidRPr="00443A37">
        <w:rPr>
          <w:b/>
          <w:bCs/>
        </w:rPr>
        <w:t>richer Microsoft-native context</w:t>
      </w:r>
      <w:r w:rsidRPr="00443A37">
        <w:t xml:space="preserve"> and less custom glue </w:t>
      </w:r>
    </w:p>
    <w:p w14:paraId="44DB7250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Faster triage &amp; enrichment:</w:t>
      </w:r>
      <w:r w:rsidRPr="00443A37">
        <w:t xml:space="preserve"> ServiceNow Security Ops/SIR can pull endpoint/user details and streamline investigation using the MDE integration </w:t>
      </w:r>
    </w:p>
    <w:p w14:paraId="31BD4B9E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Better CMDB/asset fidelity:</w:t>
      </w:r>
      <w:r w:rsidRPr="00443A37">
        <w:t xml:space="preserve"> ServiceNow can populate device data using the </w:t>
      </w:r>
      <w:r w:rsidRPr="00443A37">
        <w:rPr>
          <w:b/>
          <w:bCs/>
        </w:rPr>
        <w:t>Service Graph Connector for Microsoft Defender for Endpoint</w:t>
      </w:r>
      <w:r w:rsidRPr="00443A37">
        <w:t xml:space="preserve">, improving CI accuracy and impact analysis </w:t>
      </w:r>
    </w:p>
    <w:p w14:paraId="460ABD19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Change control becomes enforceable:</w:t>
      </w:r>
      <w:r w:rsidRPr="00443A37">
        <w:t xml:space="preserve"> fewer platforms = fewer change points; baselines/ringed rollouts reduce emergency changes and improve rollback discipline</w:t>
      </w:r>
    </w:p>
    <w:p w14:paraId="2505339D" w14:textId="77777777" w:rsidR="00443A37" w:rsidRPr="00443A37" w:rsidRDefault="00443A37" w:rsidP="00443A37">
      <w:pPr>
        <w:numPr>
          <w:ilvl w:val="0"/>
          <w:numId w:val="11"/>
        </w:numPr>
      </w:pPr>
      <w:r w:rsidRPr="00443A37">
        <w:rPr>
          <w:b/>
          <w:bCs/>
        </w:rPr>
        <w:t>Less vendor &amp; integration overhead:</w:t>
      </w:r>
      <w:r w:rsidRPr="00443A37">
        <w:t xml:space="preserve"> fewer renewals/escalations/connectors; clearer accountability and simpler runbooks</w:t>
      </w:r>
    </w:p>
    <w:p w14:paraId="5399C51B" w14:textId="77777777" w:rsidR="00443A37" w:rsidRPr="00443A37" w:rsidRDefault="00443A37" w:rsidP="00443A37">
      <w:r w:rsidRPr="00443A37">
        <w:pict w14:anchorId="0D1F44A5">
          <v:rect id="_x0000_i1040" style="width:0;height:1.5pt" o:hralign="center" o:hrstd="t" o:hr="t" fillcolor="#a0a0a0" stroked="f"/>
        </w:pict>
      </w:r>
    </w:p>
    <w:p w14:paraId="4D2B8A0E" w14:textId="5C7A1714" w:rsidR="00443A37" w:rsidRPr="00443A37" w:rsidRDefault="00443A37" w:rsidP="00443A37">
      <w:pPr>
        <w:rPr>
          <w:b/>
          <w:bCs/>
        </w:rPr>
      </w:pPr>
      <w:r w:rsidRPr="00443A37">
        <w:rPr>
          <w:b/>
          <w:bCs/>
        </w:rPr>
        <w:t xml:space="preserve">3) Before/After comparison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793"/>
        <w:gridCol w:w="3758"/>
        <w:gridCol w:w="2181"/>
      </w:tblGrid>
      <w:tr w:rsidR="00443A37" w:rsidRPr="00443A37" w14:paraId="44046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0E7C" w14:textId="77777777" w:rsidR="00443A37" w:rsidRPr="00443A37" w:rsidRDefault="00443A37" w:rsidP="00443A37">
            <w:pPr>
              <w:rPr>
                <w:b/>
                <w:bCs/>
              </w:rPr>
            </w:pPr>
            <w:r w:rsidRPr="00443A37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8A464E4" w14:textId="77777777" w:rsidR="00443A37" w:rsidRPr="00443A37" w:rsidRDefault="00443A37" w:rsidP="00443A37">
            <w:pPr>
              <w:rPr>
                <w:b/>
                <w:bCs/>
              </w:rPr>
            </w:pPr>
            <w:r w:rsidRPr="00443A37">
              <w:rPr>
                <w:b/>
                <w:bCs/>
              </w:rPr>
              <w:t>Multi-provider / Multi-platform (Proofpoint + MSP/RMM + point tools)</w:t>
            </w:r>
          </w:p>
        </w:tc>
        <w:tc>
          <w:tcPr>
            <w:tcW w:w="0" w:type="auto"/>
            <w:vAlign w:val="center"/>
            <w:hideMark/>
          </w:tcPr>
          <w:p w14:paraId="35BF615C" w14:textId="77777777" w:rsidR="00443A37" w:rsidRPr="00443A37" w:rsidRDefault="00443A37" w:rsidP="00443A37">
            <w:pPr>
              <w:rPr>
                <w:b/>
                <w:bCs/>
              </w:rPr>
            </w:pPr>
            <w:r w:rsidRPr="00443A37">
              <w:rPr>
                <w:b/>
                <w:bCs/>
              </w:rPr>
              <w:t>Unified platform (M365 F3/E5 + MDE P2) with ServiceNow ITSM</w:t>
            </w:r>
          </w:p>
        </w:tc>
        <w:tc>
          <w:tcPr>
            <w:tcW w:w="0" w:type="auto"/>
            <w:vAlign w:val="center"/>
            <w:hideMark/>
          </w:tcPr>
          <w:p w14:paraId="0A06DACB" w14:textId="77777777" w:rsidR="00443A37" w:rsidRPr="00443A37" w:rsidRDefault="00443A37" w:rsidP="00443A37">
            <w:pPr>
              <w:rPr>
                <w:b/>
                <w:bCs/>
              </w:rPr>
            </w:pPr>
            <w:r w:rsidRPr="00443A37">
              <w:rPr>
                <w:b/>
                <w:bCs/>
              </w:rPr>
              <w:t>Why it’s better at same cost</w:t>
            </w:r>
          </w:p>
        </w:tc>
      </w:tr>
      <w:tr w:rsidR="00443A37" w:rsidRPr="00443A37" w14:paraId="78E2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E675" w14:textId="77777777" w:rsidR="00443A37" w:rsidRPr="00443A37" w:rsidRDefault="00443A37" w:rsidP="00443A37">
            <w:r w:rsidRPr="00443A37">
              <w:rPr>
                <w:b/>
                <w:bCs/>
              </w:rPr>
              <w:t>Operating model</w:t>
            </w:r>
          </w:p>
        </w:tc>
        <w:tc>
          <w:tcPr>
            <w:tcW w:w="0" w:type="auto"/>
            <w:vAlign w:val="center"/>
            <w:hideMark/>
          </w:tcPr>
          <w:p w14:paraId="71FA161B" w14:textId="77777777" w:rsidR="00443A37" w:rsidRPr="00443A37" w:rsidRDefault="00443A37" w:rsidP="00443A37">
            <w:r w:rsidRPr="00443A37">
              <w:t>Tool-by-tool workflows; ownership split across providers</w:t>
            </w:r>
          </w:p>
        </w:tc>
        <w:tc>
          <w:tcPr>
            <w:tcW w:w="0" w:type="auto"/>
            <w:vAlign w:val="center"/>
            <w:hideMark/>
          </w:tcPr>
          <w:p w14:paraId="222EF08A" w14:textId="77777777" w:rsidR="00443A37" w:rsidRPr="00443A37" w:rsidRDefault="00443A37" w:rsidP="00443A37">
            <w:r w:rsidRPr="00443A37">
              <w:t>One platform standard for endpoints/identity/productivity; ServiceNow remains the workflow layer</w:t>
            </w:r>
          </w:p>
        </w:tc>
        <w:tc>
          <w:tcPr>
            <w:tcW w:w="0" w:type="auto"/>
            <w:vAlign w:val="center"/>
            <w:hideMark/>
          </w:tcPr>
          <w:p w14:paraId="7DCE92CE" w14:textId="77777777" w:rsidR="00443A37" w:rsidRPr="00443A37" w:rsidRDefault="00443A37" w:rsidP="00443A37">
            <w:r w:rsidRPr="00443A37">
              <w:t>Fewer handoffs, clearer accountability</w:t>
            </w:r>
          </w:p>
        </w:tc>
      </w:tr>
      <w:tr w:rsidR="00443A37" w:rsidRPr="00443A37" w14:paraId="0334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AAC3" w14:textId="77777777" w:rsidR="00443A37" w:rsidRPr="00443A37" w:rsidRDefault="00443A37" w:rsidP="00443A37">
            <w:r w:rsidRPr="00443A37">
              <w:rPr>
                <w:b/>
                <w:bCs/>
              </w:rPr>
              <w:t>Security signal → ITSM</w:t>
            </w:r>
          </w:p>
        </w:tc>
        <w:tc>
          <w:tcPr>
            <w:tcW w:w="0" w:type="auto"/>
            <w:vAlign w:val="center"/>
            <w:hideMark/>
          </w:tcPr>
          <w:p w14:paraId="3556B6B5" w14:textId="77777777" w:rsidR="00443A37" w:rsidRPr="00443A37" w:rsidRDefault="00443A37" w:rsidP="00443A37">
            <w:r w:rsidRPr="00443A37">
              <w:t>Alerts/tickets often rely on custom connectors and mappings</w:t>
            </w:r>
          </w:p>
        </w:tc>
        <w:tc>
          <w:tcPr>
            <w:tcW w:w="0" w:type="auto"/>
            <w:vAlign w:val="center"/>
            <w:hideMark/>
          </w:tcPr>
          <w:p w14:paraId="5AAC1C9D" w14:textId="77777777" w:rsidR="00443A37" w:rsidRPr="00443A37" w:rsidRDefault="00443A37" w:rsidP="00443A37">
            <w:r w:rsidRPr="00443A37">
              <w:t xml:space="preserve">Supported patterns exist to ingest/enrich Microsoft security signals into ServiceNow SecOps/SIR </w:t>
            </w:r>
          </w:p>
        </w:tc>
        <w:tc>
          <w:tcPr>
            <w:tcW w:w="0" w:type="auto"/>
            <w:vAlign w:val="center"/>
            <w:hideMark/>
          </w:tcPr>
          <w:p w14:paraId="17D28B3B" w14:textId="77777777" w:rsidR="00443A37" w:rsidRPr="00443A37" w:rsidRDefault="00443A37" w:rsidP="00443A37">
            <w:r w:rsidRPr="00443A37">
              <w:t>Less “integration debt,” more reliable triage</w:t>
            </w:r>
          </w:p>
        </w:tc>
      </w:tr>
      <w:tr w:rsidR="00443A37" w:rsidRPr="00443A37" w14:paraId="5B27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6F27" w14:textId="77777777" w:rsidR="00443A37" w:rsidRPr="00443A37" w:rsidRDefault="00443A37" w:rsidP="00443A37">
            <w:r w:rsidRPr="00443A37">
              <w:rPr>
                <w:b/>
                <w:bCs/>
              </w:rPr>
              <w:t>Incident enrichment</w:t>
            </w:r>
          </w:p>
        </w:tc>
        <w:tc>
          <w:tcPr>
            <w:tcW w:w="0" w:type="auto"/>
            <w:vAlign w:val="center"/>
            <w:hideMark/>
          </w:tcPr>
          <w:p w14:paraId="1F6A1785" w14:textId="77777777" w:rsidR="00443A37" w:rsidRPr="00443A37" w:rsidRDefault="00443A37" w:rsidP="00443A37">
            <w:r w:rsidRPr="00443A37">
              <w:t>Context scattered (email tool, endpoint tool, RMM)</w:t>
            </w:r>
          </w:p>
        </w:tc>
        <w:tc>
          <w:tcPr>
            <w:tcW w:w="0" w:type="auto"/>
            <w:vAlign w:val="center"/>
            <w:hideMark/>
          </w:tcPr>
          <w:p w14:paraId="44150688" w14:textId="77777777" w:rsidR="00443A37" w:rsidRPr="00443A37" w:rsidRDefault="00443A37" w:rsidP="00443A37">
            <w:r w:rsidRPr="00443A37">
              <w:t xml:space="preserve">MDE integration supports host/user enrichment and response actions from ServiceNow workflows </w:t>
            </w:r>
          </w:p>
        </w:tc>
        <w:tc>
          <w:tcPr>
            <w:tcW w:w="0" w:type="auto"/>
            <w:vAlign w:val="center"/>
            <w:hideMark/>
          </w:tcPr>
          <w:p w14:paraId="75A8789A" w14:textId="77777777" w:rsidR="00443A37" w:rsidRPr="00443A37" w:rsidRDefault="00443A37" w:rsidP="00443A37">
            <w:r w:rsidRPr="00443A37">
              <w:t>Faster root cause, fewer swivel-chair steps</w:t>
            </w:r>
          </w:p>
        </w:tc>
      </w:tr>
      <w:tr w:rsidR="00443A37" w:rsidRPr="00443A37" w14:paraId="76C2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7E01" w14:textId="77777777" w:rsidR="00443A37" w:rsidRPr="00443A37" w:rsidRDefault="00443A37" w:rsidP="00443A37">
            <w:r w:rsidRPr="00443A37">
              <w:rPr>
                <w:b/>
                <w:bCs/>
              </w:rPr>
              <w:t>CMDB / asset accuracy</w:t>
            </w:r>
          </w:p>
        </w:tc>
        <w:tc>
          <w:tcPr>
            <w:tcW w:w="0" w:type="auto"/>
            <w:vAlign w:val="center"/>
            <w:hideMark/>
          </w:tcPr>
          <w:p w14:paraId="0BBC9B46" w14:textId="77777777" w:rsidR="00443A37" w:rsidRPr="00443A37" w:rsidRDefault="00443A37" w:rsidP="00443A37">
            <w:r w:rsidRPr="00443A37">
              <w:t>RMM inventory often doesn’t match real endpoint security state</w:t>
            </w:r>
          </w:p>
        </w:tc>
        <w:tc>
          <w:tcPr>
            <w:tcW w:w="0" w:type="auto"/>
            <w:vAlign w:val="center"/>
            <w:hideMark/>
          </w:tcPr>
          <w:p w14:paraId="5D9D74AA" w14:textId="77777777" w:rsidR="00443A37" w:rsidRPr="00443A37" w:rsidRDefault="00443A37" w:rsidP="00443A37">
            <w:r w:rsidRPr="00443A37">
              <w:t xml:space="preserve">ServiceNow Service Graph Connector can pull device data from Defender for Endpoint into CMDB </w:t>
            </w:r>
          </w:p>
        </w:tc>
        <w:tc>
          <w:tcPr>
            <w:tcW w:w="0" w:type="auto"/>
            <w:vAlign w:val="center"/>
            <w:hideMark/>
          </w:tcPr>
          <w:p w14:paraId="7C918C59" w14:textId="77777777" w:rsidR="00443A37" w:rsidRPr="00443A37" w:rsidRDefault="00443A37" w:rsidP="00443A37">
            <w:r w:rsidRPr="00443A37">
              <w:t>Better CI accuracy → better change impact analysis</w:t>
            </w:r>
          </w:p>
        </w:tc>
      </w:tr>
      <w:tr w:rsidR="00443A37" w:rsidRPr="00443A37" w14:paraId="4D12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FCCB" w14:textId="77777777" w:rsidR="00443A37" w:rsidRPr="00443A37" w:rsidRDefault="00443A37" w:rsidP="00443A37">
            <w:r w:rsidRPr="00443A37">
              <w:rPr>
                <w:b/>
                <w:bCs/>
              </w:rPr>
              <w:t>Change control</w:t>
            </w:r>
          </w:p>
        </w:tc>
        <w:tc>
          <w:tcPr>
            <w:tcW w:w="0" w:type="auto"/>
            <w:vAlign w:val="center"/>
            <w:hideMark/>
          </w:tcPr>
          <w:p w14:paraId="3B24C1B3" w14:textId="77777777" w:rsidR="00443A37" w:rsidRPr="00443A37" w:rsidRDefault="00443A37" w:rsidP="00443A37">
            <w:r w:rsidRPr="00443A37">
              <w:t>More platforms = more change surfaces (agents, policies, portals)</w:t>
            </w:r>
          </w:p>
        </w:tc>
        <w:tc>
          <w:tcPr>
            <w:tcW w:w="0" w:type="auto"/>
            <w:vAlign w:val="center"/>
            <w:hideMark/>
          </w:tcPr>
          <w:p w14:paraId="0C27D496" w14:textId="77777777" w:rsidR="00443A37" w:rsidRPr="00443A37" w:rsidRDefault="00443A37" w:rsidP="00443A37">
            <w:r w:rsidRPr="00443A37">
              <w:t>Fewer platforms reduce change collisions; standard baselines + staged rollout patterns</w:t>
            </w:r>
          </w:p>
        </w:tc>
        <w:tc>
          <w:tcPr>
            <w:tcW w:w="0" w:type="auto"/>
            <w:vAlign w:val="center"/>
            <w:hideMark/>
          </w:tcPr>
          <w:p w14:paraId="6F1328D3" w14:textId="77777777" w:rsidR="00443A37" w:rsidRPr="00443A37" w:rsidRDefault="00443A37" w:rsidP="00443A37">
            <w:r w:rsidRPr="00443A37">
              <w:t>Fewer change-related incidents, cleaner rollback</w:t>
            </w:r>
          </w:p>
        </w:tc>
      </w:tr>
      <w:tr w:rsidR="00443A37" w:rsidRPr="00443A37" w14:paraId="0B40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9EE" w14:textId="77777777" w:rsidR="00443A37" w:rsidRPr="00443A37" w:rsidRDefault="00443A37" w:rsidP="00443A37">
            <w:r w:rsidRPr="00443A37">
              <w:rPr>
                <w:b/>
                <w:bCs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3DA0BCB5" w14:textId="77777777" w:rsidR="00443A37" w:rsidRPr="00443A37" w:rsidRDefault="00443A37" w:rsidP="00443A37">
            <w:r w:rsidRPr="00443A37">
              <w:t>Many exception patterns and vendor-specific designs</w:t>
            </w:r>
          </w:p>
        </w:tc>
        <w:tc>
          <w:tcPr>
            <w:tcW w:w="0" w:type="auto"/>
            <w:vAlign w:val="center"/>
            <w:hideMark/>
          </w:tcPr>
          <w:p w14:paraId="5A743F26" w14:textId="77777777" w:rsidR="00443A37" w:rsidRPr="00443A37" w:rsidRDefault="00443A37" w:rsidP="00443A37">
            <w:r w:rsidRPr="00443A37">
              <w:t>Repeatable “Microsoft-first” reference patterns, fewer exceptions</w:t>
            </w:r>
          </w:p>
        </w:tc>
        <w:tc>
          <w:tcPr>
            <w:tcW w:w="0" w:type="auto"/>
            <w:vAlign w:val="center"/>
            <w:hideMark/>
          </w:tcPr>
          <w:p w14:paraId="38A77503" w14:textId="77777777" w:rsidR="00443A37" w:rsidRPr="00443A37" w:rsidRDefault="00443A37" w:rsidP="00443A37">
            <w:r w:rsidRPr="00443A37">
              <w:t>Lower long-term support cost and complexity</w:t>
            </w:r>
          </w:p>
        </w:tc>
      </w:tr>
      <w:tr w:rsidR="00443A37" w:rsidRPr="00443A37" w14:paraId="13AF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6621" w14:textId="77777777" w:rsidR="00443A37" w:rsidRPr="00443A37" w:rsidRDefault="00443A37" w:rsidP="00443A37">
            <w:r w:rsidRPr="00443A37">
              <w:rPr>
                <w:b/>
                <w:bCs/>
              </w:rPr>
              <w:lastRenderedPageBreak/>
              <w:t>Audit &amp; reporting</w:t>
            </w:r>
          </w:p>
        </w:tc>
        <w:tc>
          <w:tcPr>
            <w:tcW w:w="0" w:type="auto"/>
            <w:vAlign w:val="center"/>
            <w:hideMark/>
          </w:tcPr>
          <w:p w14:paraId="4638EE0F" w14:textId="77777777" w:rsidR="00443A37" w:rsidRPr="00443A37" w:rsidRDefault="00443A37" w:rsidP="00443A37">
            <w:r w:rsidRPr="00443A37">
              <w:t>Evidence scattered across vendors; manual reconciliation</w:t>
            </w:r>
          </w:p>
        </w:tc>
        <w:tc>
          <w:tcPr>
            <w:tcW w:w="0" w:type="auto"/>
            <w:vAlign w:val="center"/>
            <w:hideMark/>
          </w:tcPr>
          <w:p w14:paraId="111188C6" w14:textId="77777777" w:rsidR="00443A37" w:rsidRPr="00443A37" w:rsidRDefault="00443A37" w:rsidP="00443A37">
            <w:r w:rsidRPr="00443A37">
              <w:t>More consistent policy + telemetry foundation, easier evidence gathering</w:t>
            </w:r>
          </w:p>
        </w:tc>
        <w:tc>
          <w:tcPr>
            <w:tcW w:w="0" w:type="auto"/>
            <w:vAlign w:val="center"/>
            <w:hideMark/>
          </w:tcPr>
          <w:p w14:paraId="68B8C6CE" w14:textId="77777777" w:rsidR="00443A37" w:rsidRPr="00443A37" w:rsidRDefault="00443A37" w:rsidP="00443A37">
            <w:r w:rsidRPr="00443A37">
              <w:t>Less time proving controls, more time improving controls</w:t>
            </w:r>
          </w:p>
        </w:tc>
      </w:tr>
      <w:tr w:rsidR="00443A37" w:rsidRPr="00443A37" w14:paraId="2845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9667" w14:textId="77777777" w:rsidR="00443A37" w:rsidRPr="00443A37" w:rsidRDefault="00443A37" w:rsidP="00443A37">
            <w:r w:rsidRPr="00443A37">
              <w:rPr>
                <w:b/>
                <w:bCs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5DE7DF02" w14:textId="77777777" w:rsidR="00443A37" w:rsidRPr="00443A37" w:rsidRDefault="00443A37" w:rsidP="00443A37">
            <w:r w:rsidRPr="00443A37">
              <w:t>Multiple renewals, security reviews, escalations</w:t>
            </w:r>
          </w:p>
        </w:tc>
        <w:tc>
          <w:tcPr>
            <w:tcW w:w="0" w:type="auto"/>
            <w:vAlign w:val="center"/>
            <w:hideMark/>
          </w:tcPr>
          <w:p w14:paraId="236337A7" w14:textId="77777777" w:rsidR="00443A37" w:rsidRPr="00443A37" w:rsidRDefault="00443A37" w:rsidP="00443A37">
            <w:r w:rsidRPr="00443A37">
              <w:t>Reduced vendor sprawl; clearer escalation path</w:t>
            </w:r>
          </w:p>
        </w:tc>
        <w:tc>
          <w:tcPr>
            <w:tcW w:w="0" w:type="auto"/>
            <w:vAlign w:val="center"/>
            <w:hideMark/>
          </w:tcPr>
          <w:p w14:paraId="305AD909" w14:textId="77777777" w:rsidR="00443A37" w:rsidRPr="00443A37" w:rsidRDefault="00443A37" w:rsidP="00443A37">
            <w:r w:rsidRPr="00443A37">
              <w:t>Lower hidden cost even if licenses are equal</w:t>
            </w:r>
          </w:p>
        </w:tc>
      </w:tr>
      <w:tr w:rsidR="00443A37" w:rsidRPr="00443A37" w14:paraId="6A2F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398D" w14:textId="77777777" w:rsidR="00443A37" w:rsidRPr="00443A37" w:rsidRDefault="00443A37" w:rsidP="00443A37">
            <w:r w:rsidRPr="00443A37">
              <w:rPr>
                <w:b/>
                <w:bCs/>
              </w:rPr>
              <w:t>Collaboration for ITSM</w:t>
            </w:r>
          </w:p>
        </w:tc>
        <w:tc>
          <w:tcPr>
            <w:tcW w:w="0" w:type="auto"/>
            <w:vAlign w:val="center"/>
            <w:hideMark/>
          </w:tcPr>
          <w:p w14:paraId="5AC0BE72" w14:textId="77777777" w:rsidR="00443A37" w:rsidRPr="00443A37" w:rsidRDefault="00443A37" w:rsidP="00443A37">
            <w:r w:rsidRPr="00443A37">
              <w:t>Separate comms channels and ticket systems</w:t>
            </w:r>
          </w:p>
        </w:tc>
        <w:tc>
          <w:tcPr>
            <w:tcW w:w="0" w:type="auto"/>
            <w:vAlign w:val="center"/>
            <w:hideMark/>
          </w:tcPr>
          <w:p w14:paraId="2F570EBB" w14:textId="77777777" w:rsidR="00443A37" w:rsidRPr="00443A37" w:rsidRDefault="00443A37" w:rsidP="00443A37">
            <w:r w:rsidRPr="00443A37">
              <w:t xml:space="preserve">Standard ServiceNow + Microsoft collaboration integrations can streamline engagement (e.g., Teams workflows) </w:t>
            </w:r>
          </w:p>
        </w:tc>
        <w:tc>
          <w:tcPr>
            <w:tcW w:w="0" w:type="auto"/>
            <w:vAlign w:val="center"/>
            <w:hideMark/>
          </w:tcPr>
          <w:p w14:paraId="39DCE451" w14:textId="77777777" w:rsidR="00443A37" w:rsidRPr="00443A37" w:rsidRDefault="00443A37" w:rsidP="00443A37">
            <w:r w:rsidRPr="00443A37">
              <w:t>Faster coordination during incidents/changes</w:t>
            </w:r>
          </w:p>
        </w:tc>
      </w:tr>
    </w:tbl>
    <w:p w14:paraId="16602216" w14:textId="77777777" w:rsidR="00443A37" w:rsidRDefault="00443A37"/>
    <w:p w14:paraId="3BFD987E" w14:textId="77777777" w:rsidR="00443A37" w:rsidRDefault="00443A37"/>
    <w:sectPr w:rsidR="00443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779"/>
    <w:multiLevelType w:val="multilevel"/>
    <w:tmpl w:val="DB6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E28"/>
    <w:multiLevelType w:val="multilevel"/>
    <w:tmpl w:val="33C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765F"/>
    <w:multiLevelType w:val="multilevel"/>
    <w:tmpl w:val="EA6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141A"/>
    <w:multiLevelType w:val="multilevel"/>
    <w:tmpl w:val="D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346A1"/>
    <w:multiLevelType w:val="multilevel"/>
    <w:tmpl w:val="A10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16B9F"/>
    <w:multiLevelType w:val="multilevel"/>
    <w:tmpl w:val="03C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555A3"/>
    <w:multiLevelType w:val="multilevel"/>
    <w:tmpl w:val="15B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D6F82"/>
    <w:multiLevelType w:val="multilevel"/>
    <w:tmpl w:val="3C9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E5706"/>
    <w:multiLevelType w:val="multilevel"/>
    <w:tmpl w:val="ADD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85D16"/>
    <w:multiLevelType w:val="multilevel"/>
    <w:tmpl w:val="9B7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01B05"/>
    <w:multiLevelType w:val="multilevel"/>
    <w:tmpl w:val="92B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32414">
    <w:abstractNumId w:val="0"/>
  </w:num>
  <w:num w:numId="2" w16cid:durableId="1352145517">
    <w:abstractNumId w:val="4"/>
  </w:num>
  <w:num w:numId="3" w16cid:durableId="518159956">
    <w:abstractNumId w:val="9"/>
  </w:num>
  <w:num w:numId="4" w16cid:durableId="1415467657">
    <w:abstractNumId w:val="5"/>
  </w:num>
  <w:num w:numId="5" w16cid:durableId="1832453089">
    <w:abstractNumId w:val="2"/>
  </w:num>
  <w:num w:numId="6" w16cid:durableId="2122341277">
    <w:abstractNumId w:val="1"/>
  </w:num>
  <w:num w:numId="7" w16cid:durableId="79521297">
    <w:abstractNumId w:val="6"/>
  </w:num>
  <w:num w:numId="8" w16cid:durableId="1307861257">
    <w:abstractNumId w:val="10"/>
  </w:num>
  <w:num w:numId="9" w16cid:durableId="434403243">
    <w:abstractNumId w:val="8"/>
  </w:num>
  <w:num w:numId="10" w16cid:durableId="1157960246">
    <w:abstractNumId w:val="3"/>
  </w:num>
  <w:num w:numId="11" w16cid:durableId="226307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E7"/>
    <w:rsid w:val="00435509"/>
    <w:rsid w:val="00443A37"/>
    <w:rsid w:val="006863E7"/>
    <w:rsid w:val="00811CC7"/>
    <w:rsid w:val="00E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55CA"/>
  <w15:chartTrackingRefBased/>
  <w15:docId w15:val="{42B1325D-E221-4793-96E3-9EE109BE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1550</Words>
  <Characters>10433</Characters>
  <Application>Microsoft Office Word</Application>
  <DocSecurity>0</DocSecurity>
  <Lines>372</Lines>
  <Paragraphs>168</Paragraphs>
  <ScaleCrop>false</ScaleCrop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Portwood</dc:creator>
  <cp:keywords/>
  <dc:description/>
  <cp:lastModifiedBy>David Portwood</cp:lastModifiedBy>
  <cp:revision>2</cp:revision>
  <dcterms:created xsi:type="dcterms:W3CDTF">2026-01-13T21:00:00Z</dcterms:created>
  <dcterms:modified xsi:type="dcterms:W3CDTF">2026-01-13T21:05:00Z</dcterms:modified>
</cp:coreProperties>
</file>