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60B6" w14:textId="50FB3647" w:rsidR="003906DC" w:rsidRDefault="00000000" w:rsidP="00067E9C">
      <w:pPr>
        <w:spacing w:after="120"/>
        <w:jc w:val="both"/>
      </w:pPr>
      <w:r>
        <w:rPr>
          <w:b/>
        </w:rPr>
        <w:t>Individual Homework 05 Report</w:t>
      </w:r>
      <w:r w:rsidR="00067E9C">
        <w:t xml:space="preserve">: </w:t>
      </w:r>
      <w:r>
        <w:rPr>
          <w:b/>
        </w:rPr>
        <w:t>Applied Adversarial Audit on COMPAS</w:t>
      </w:r>
    </w:p>
    <w:p w14:paraId="1B78A926" w14:textId="13AB7983" w:rsidR="003906DC" w:rsidRDefault="00000000" w:rsidP="00067E9C">
      <w:pPr>
        <w:spacing w:before="120" w:after="120"/>
        <w:jc w:val="both"/>
      </w:pPr>
      <w:r>
        <w:rPr>
          <w:b/>
        </w:rPr>
        <w:t>Overview</w:t>
      </w:r>
    </w:p>
    <w:p w14:paraId="6B0957E8" w14:textId="7591AE13" w:rsidR="003906DC" w:rsidRDefault="00000000" w:rsidP="00067E9C">
      <w:pPr>
        <w:spacing w:after="120" w:line="240" w:lineRule="auto"/>
        <w:ind w:firstLine="432"/>
        <w:jc w:val="both"/>
      </w:pPr>
      <w:r>
        <w:t>This report summarizes the main findings from the Lecture 05 applied assignment on adversarial machine learning using the ProPublica COMPAS dataset. The notebook is a standalone Assignment 5 submission built from the same COMPAS workflow carried forward from `Assignment 4`. The goal is to test whether robustness, fairness, and privacy can fail under deliberate attack even when average model quality still looks strong.</w:t>
      </w:r>
    </w:p>
    <w:p w14:paraId="6B21E9CB" w14:textId="70CFF447" w:rsidR="003906DC" w:rsidRDefault="00000000" w:rsidP="00067E9C">
      <w:pPr>
        <w:spacing w:before="120" w:after="120"/>
        <w:jc w:val="both"/>
      </w:pPr>
      <w:r>
        <w:rPr>
          <w:b/>
        </w:rPr>
        <w:t>1. PGD Evasion Audit</w:t>
      </w:r>
    </w:p>
    <w:p w14:paraId="64B862E9" w14:textId="74DB3EDA" w:rsidR="003906DC" w:rsidRDefault="00000000" w:rsidP="00067E9C">
      <w:pPr>
        <w:spacing w:after="120" w:line="240" w:lineRule="auto"/>
        <w:ind w:firstLine="432"/>
        <w:jc w:val="both"/>
      </w:pPr>
      <w:r>
        <w:t xml:space="preserve">The PGD audit was run on both the logistic regression and gradient-boosted tree models across `epsilon = 0.25, 0.5, 1.0, 2.0`. The fairness lens was race-specific false positive rates together with AIR, where AIR is measured as the </w:t>
      </w:r>
      <w:proofErr w:type="gramStart"/>
      <w:r>
        <w:t>African-American</w:t>
      </w:r>
      <w:proofErr w:type="gramEnd"/>
      <w:r>
        <w:t xml:space="preserve"> low-risk rate divided by the Caucasian low-risk rate.</w:t>
      </w:r>
    </w:p>
    <w:p w14:paraId="6962422B" w14:textId="1A07232A" w:rsidR="003906DC" w:rsidRDefault="00000000" w:rsidP="00067E9C">
      <w:pPr>
        <w:spacing w:after="120" w:line="240" w:lineRule="auto"/>
        <w:ind w:firstLine="432"/>
        <w:jc w:val="both"/>
      </w:pPr>
      <w:r>
        <w:t>The two models were not equally vulnerable. Under stronger perturbation budgets, the logistic regression deteriorated far more sharply than the gradient-boosted tree. By `epsilon = 2.0`, the logistic regression test AUC collapsed to `0.000`, while the gradient-boosted tree still retained a test AUC of about `0.944`. This makes logistic regression the weaker robustness choice under the evasion threat model used in the notebook.</w:t>
      </w:r>
    </w:p>
    <w:p w14:paraId="58DA06BB" w14:textId="1EDCC060" w:rsidR="003906DC" w:rsidRDefault="00000000" w:rsidP="00067E9C">
      <w:pPr>
        <w:spacing w:after="120" w:line="240" w:lineRule="auto"/>
        <w:ind w:firstLine="432"/>
        <w:jc w:val="both"/>
      </w:pPr>
      <w:r>
        <w:t>Both models were already below the `0.80` AIR threshold in the clean baseline: `0.768` for logistic regression and `0.776` for the gradient-boosted tree. Because of that, the attack did not create a new threshold crossing. The main lesson from Part A is therefore a **robustness failure** rather than a newly introduced fairness breach.</w:t>
      </w:r>
    </w:p>
    <w:p w14:paraId="403859E4" w14:textId="15CCEC9B" w:rsidR="003906DC" w:rsidRDefault="00000000" w:rsidP="00067E9C">
      <w:pPr>
        <w:spacing w:before="120" w:after="120"/>
        <w:jc w:val="both"/>
      </w:pPr>
      <w:r>
        <w:rPr>
          <w:b/>
        </w:rPr>
        <w:t xml:space="preserve">2. Poisoning Loop </w:t>
      </w:r>
      <w:proofErr w:type="gramStart"/>
      <w:r>
        <w:rPr>
          <w:b/>
        </w:rPr>
        <w:t>With</w:t>
      </w:r>
      <w:proofErr w:type="gramEnd"/>
      <w:r>
        <w:rPr>
          <w:b/>
        </w:rPr>
        <w:t xml:space="preserve"> Fairness Monitoring</w:t>
      </w:r>
    </w:p>
    <w:p w14:paraId="6394BD7B" w14:textId="719DC5F4" w:rsidR="003906DC" w:rsidRDefault="00000000" w:rsidP="00067E9C">
      <w:pPr>
        <w:spacing w:after="120" w:line="240" w:lineRule="auto"/>
        <w:ind w:firstLine="432"/>
        <w:jc w:val="both"/>
      </w:pPr>
      <w:r>
        <w:t xml:space="preserve">The poisoning experiment flipped a fraction of non-recidivist training labels from `0` to `1` within a targeted race and then retrained the gradient-boosted tree. I evaluated both the </w:t>
      </w:r>
      <w:proofErr w:type="gramStart"/>
      <w:r>
        <w:t>African-American</w:t>
      </w:r>
      <w:proofErr w:type="gramEnd"/>
      <w:r>
        <w:t>-targeted version and the Caucasian-targeted extension requested in the lecture.</w:t>
      </w:r>
    </w:p>
    <w:p w14:paraId="1DF5228B" w14:textId="4CC02510" w:rsidR="003906DC" w:rsidRDefault="00000000" w:rsidP="00067E9C">
      <w:pPr>
        <w:spacing w:after="120" w:line="240" w:lineRule="auto"/>
        <w:ind w:firstLine="432"/>
        <w:jc w:val="both"/>
      </w:pPr>
      <w:r>
        <w:t>This was the strongest finding in the assignment. The notebook identified `8` nonzero **stealth-zone** settings where AIR moved outside the lecture band `[0.80, 1.25]` while AUC declined by no more than `2` percentage points. That is the main governance danger: the model can still look strong on headline predictive quality while becoming much less fair across racial groups.</w:t>
      </w:r>
    </w:p>
    <w:p w14:paraId="4E1E5D94" w14:textId="025AC795" w:rsidR="003906DC" w:rsidRDefault="00000000" w:rsidP="00067E9C">
      <w:pPr>
        <w:spacing w:after="120" w:line="240" w:lineRule="auto"/>
        <w:ind w:firstLine="432"/>
        <w:jc w:val="both"/>
      </w:pPr>
      <w:r>
        <w:t>The race-specific effects were severe. For African-American-targeted poisoning, AIR fell from `0.776` to `0.559` at a `10%` poison rate and to `0.024` at `20%`. For Caucasian-targeted poisoning, the same AIR ratio moved in the opposite direction and reached `1.473` at `10%` and `62.813` at `20%`. The attack therefore changes both the size and the direction of disparity depending on the targeted group.</w:t>
      </w:r>
    </w:p>
    <w:p w14:paraId="4BACEFE5" w14:textId="6FA760C3" w:rsidR="003906DC" w:rsidRDefault="00000000" w:rsidP="00067E9C">
      <w:pPr>
        <w:spacing w:after="120" w:line="240" w:lineRule="auto"/>
        <w:ind w:firstLine="432"/>
        <w:jc w:val="both"/>
      </w:pPr>
      <w:r>
        <w:t>The PSI check stayed at `0.000` on every feature because the attack changes labels rather than feature values. A feature-only PSI system would therefore detect `0` of the `8` stealth-zone cases found in the notebook.</w:t>
      </w:r>
    </w:p>
    <w:p w14:paraId="718EB5AC" w14:textId="77777777" w:rsidR="00067E9C" w:rsidRDefault="00000000" w:rsidP="00067E9C">
      <w:pPr>
        <w:spacing w:before="120" w:after="120"/>
        <w:jc w:val="both"/>
      </w:pPr>
      <w:r>
        <w:rPr>
          <w:b/>
        </w:rPr>
        <w:t>3. Membership Inference Depth</w:t>
      </w:r>
      <w:r w:rsidR="00067E9C">
        <w:t>}</w:t>
      </w:r>
    </w:p>
    <w:p w14:paraId="4CBCA8E9" w14:textId="2418A3A7" w:rsidR="003906DC" w:rsidRDefault="00000000" w:rsidP="00067E9C">
      <w:pPr>
        <w:spacing w:before="120" w:after="120"/>
        <w:ind w:firstLine="432"/>
        <w:jc w:val="both"/>
      </w:pPr>
      <w:r>
        <w:lastRenderedPageBreak/>
        <w:t>The shadow-model membership inference pipeline produced an MI AUC of `0.522` for logistic regression and `0.517` for the gradient-boosted tree. These values are only modestly above the random baseline of `0.50`, so the privacy leakage is measurable but not catastrophic in this split.</w:t>
      </w:r>
    </w:p>
    <w:p w14:paraId="70CB246D" w14:textId="604AFDF4" w:rsidR="003906DC" w:rsidRDefault="00000000" w:rsidP="00067E9C">
      <w:pPr>
        <w:spacing w:after="120" w:line="240" w:lineRule="auto"/>
        <w:ind w:firstLine="432"/>
        <w:jc w:val="both"/>
      </w:pPr>
      <w:r>
        <w:t>The generalization-gap comparison gave a mixed answer. The gradient-boosted tree had the larger AUC generalization gap (`0.0171` versus `0.0049` for logistic regression), but logistic regression had the slightly larger MI AUC (`0.522` versus `0.517`). That suggests generalization gap alone is not enough to explain membership exposure here.</w:t>
      </w:r>
    </w:p>
    <w:p w14:paraId="3040605D" w14:textId="37FD7400" w:rsidR="003906DC" w:rsidRDefault="00000000" w:rsidP="00067E9C">
      <w:pPr>
        <w:spacing w:after="120" w:line="240" w:lineRule="auto"/>
        <w:ind w:firstLine="432"/>
        <w:jc w:val="both"/>
      </w:pPr>
      <w:r>
        <w:t xml:space="preserve">The clearest privacy mitigation came from regularization. Tightening logistic regression to `C = 0.01` reduced MI AUC from `0.522` to `0.506`. At the same time, clean test AUC improved slightly from `0.985` to `0.988`, and the </w:t>
      </w:r>
      <w:proofErr w:type="gramStart"/>
      <w:r>
        <w:t>African-American</w:t>
      </w:r>
      <w:proofErr w:type="gramEnd"/>
      <w:r>
        <w:t xml:space="preserve"> versus Caucasian AIR remained `0.768`.</w:t>
      </w:r>
    </w:p>
    <w:p w14:paraId="7712D171" w14:textId="1157EF3B" w:rsidR="003906DC" w:rsidRDefault="00000000" w:rsidP="00067E9C">
      <w:pPr>
        <w:spacing w:before="120" w:after="120"/>
        <w:jc w:val="both"/>
      </w:pPr>
      <w:r>
        <w:rPr>
          <w:b/>
        </w:rPr>
        <w:t xml:space="preserve">4. Highest-Risk Finding </w:t>
      </w:r>
      <w:proofErr w:type="gramStart"/>
      <w:r>
        <w:rPr>
          <w:b/>
        </w:rPr>
        <w:t>And</w:t>
      </w:r>
      <w:proofErr w:type="gramEnd"/>
      <w:r>
        <w:rPr>
          <w:b/>
        </w:rPr>
        <w:t xml:space="preserve"> Mitigations</w:t>
      </w:r>
    </w:p>
    <w:p w14:paraId="34C8FAB6" w14:textId="75816BFE" w:rsidR="003906DC" w:rsidRDefault="00000000" w:rsidP="00067E9C">
      <w:pPr>
        <w:spacing w:after="120" w:line="240" w:lineRule="auto"/>
        <w:ind w:firstLine="432"/>
        <w:jc w:val="both"/>
      </w:pPr>
      <w:r>
        <w:t>Across all three parts, the single highest-risk finding was the **stealthy poisoning behavior**. I treat it as the top risk because it changes fairness sharply, keeps AUC looking strong enough to avoid obvious suspicion, and fully evades feature-only PSI monitoring.</w:t>
      </w:r>
    </w:p>
    <w:p w14:paraId="46442F99" w14:textId="0118ED02" w:rsidR="003906DC" w:rsidRDefault="00000000" w:rsidP="00067E9C">
      <w:pPr>
        <w:spacing w:after="120" w:line="240" w:lineRule="auto"/>
        <w:ind w:firstLine="432"/>
        <w:jc w:val="both"/>
      </w:pPr>
      <w:r>
        <w:t>The proactive mitigation supported by the experiment is **label-provenance review before retraining**. In this notebook, that directly targets the mechanism responsible for all `8` stealth-zone cases. Its value is not that it changes clean predictions, but that it prevents poisoned relabeling from being accepted into the training pipeline.</w:t>
      </w:r>
    </w:p>
    <w:p w14:paraId="598916EA" w14:textId="34491143" w:rsidR="003906DC" w:rsidRDefault="00000000" w:rsidP="00067E9C">
      <w:pPr>
        <w:spacing w:after="120" w:line="240" w:lineRule="auto"/>
        <w:ind w:firstLine="432"/>
        <w:jc w:val="both"/>
      </w:pPr>
      <w:r>
        <w:t>The reactive mitigation supported by the experiment is to monitor **AIR bands in addition to PSI-based feature drift**. In the notebook, AIR monitoring would flag `8/8` stealth-zone cases, while PSI alone would flag `0/8`. This is the clearest example in the assignment of why fairness monitoring should be treated as part of security monitoring.</w:t>
      </w:r>
    </w:p>
    <w:p w14:paraId="0606296D" w14:textId="7227FF45" w:rsidR="003906DC" w:rsidRDefault="00000000" w:rsidP="00067E9C">
      <w:pPr>
        <w:spacing w:after="120" w:line="240" w:lineRule="auto"/>
        <w:ind w:firstLine="432"/>
        <w:jc w:val="both"/>
      </w:pPr>
      <w:r>
        <w:t>The same label-flip mechanism can be aimed at different racial groups and push the AIR ratio in opposite directions depending on the target. That means the operational lesson is not just to monitor accuracy, but to treat subgroup fairness metrics as attack-surface indicators when deciding whether a retrained model should be approved.</w:t>
      </w:r>
    </w:p>
    <w:p w14:paraId="24D040C3" w14:textId="0378EDCC" w:rsidR="003906DC" w:rsidRDefault="00000000" w:rsidP="00067E9C">
      <w:pPr>
        <w:spacing w:before="120" w:after="120"/>
        <w:jc w:val="both"/>
      </w:pPr>
      <w:r>
        <w:rPr>
          <w:b/>
        </w:rPr>
        <w:t>Conclusion</w:t>
      </w:r>
    </w:p>
    <w:p w14:paraId="645141E5" w14:textId="77777777" w:rsidR="003906DC" w:rsidRDefault="00000000" w:rsidP="00067E9C">
      <w:pPr>
        <w:spacing w:after="120" w:line="240" w:lineRule="auto"/>
        <w:ind w:firstLine="432"/>
        <w:jc w:val="both"/>
      </w:pPr>
      <w:r>
        <w:t>The main lesson from Lecture 05 is that predictive quality does not tell the full governance story. Under adversarial pressure, a model can remain high-performing on aggregate metrics while still becoming unfair under poisoning, unstable under PGD perturbation, or privacy-leaky under membership inference. Security, fairness, privacy, and robustness therefore need to be audited together rather than as separate evaluation tracks.</w:t>
      </w:r>
    </w:p>
    <w:sectPr w:rsidR="003906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7904">
    <w:abstractNumId w:val="8"/>
  </w:num>
  <w:num w:numId="2" w16cid:durableId="144513319">
    <w:abstractNumId w:val="6"/>
  </w:num>
  <w:num w:numId="3" w16cid:durableId="321591581">
    <w:abstractNumId w:val="5"/>
  </w:num>
  <w:num w:numId="4" w16cid:durableId="1646277070">
    <w:abstractNumId w:val="4"/>
  </w:num>
  <w:num w:numId="5" w16cid:durableId="1085414890">
    <w:abstractNumId w:val="7"/>
  </w:num>
  <w:num w:numId="6" w16cid:durableId="2124685432">
    <w:abstractNumId w:val="3"/>
  </w:num>
  <w:num w:numId="7" w16cid:durableId="693775270">
    <w:abstractNumId w:val="2"/>
  </w:num>
  <w:num w:numId="8" w16cid:durableId="402728292">
    <w:abstractNumId w:val="1"/>
  </w:num>
  <w:num w:numId="9" w16cid:durableId="69908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9C"/>
    <w:rsid w:val="0015074B"/>
    <w:rsid w:val="0029639D"/>
    <w:rsid w:val="00326F90"/>
    <w:rsid w:val="003906DC"/>
    <w:rsid w:val="003F7A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F9B94"/>
  <w14:defaultImageDpi w14:val="300"/>
  <w15:docId w15:val="{F115B042-3464-6741-A4D5-67C0AFBF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Porudominsky Rotstain, David</cp:lastModifiedBy>
  <cp:revision>2</cp:revision>
  <dcterms:created xsi:type="dcterms:W3CDTF">2013-12-23T23:15:00Z</dcterms:created>
  <dcterms:modified xsi:type="dcterms:W3CDTF">2026-04-29T22:59:00Z</dcterms:modified>
  <cp:category/>
</cp:coreProperties>
</file>