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PURPOSE</w:t>
      </w:r>
    </w:p>
    <w:p w:rsidR="00000000" w:rsidDel="00000000" w:rsidP="00000000" w:rsidRDefault="00000000" w:rsidRPr="00000000" w14:paraId="0000000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purpose of recognizing the pre-existing conditions in insurance plans is to mitigate risks and determine the scope of coverage.</w:t>
      </w: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Exclusions are an essential component of insurance policies because they help control risk, specify what is and isn’t covered, and make sure that insurance is still affordable and equitable for the insured and the insurer.</w:t>
      </w:r>
      <w:r w:rsidDel="00000000" w:rsidR="00000000" w:rsidRPr="00000000">
        <w:rPr>
          <w:rtl w:val="0"/>
        </w:rPr>
      </w:r>
    </w:p>
    <w:p w:rsidR="00000000" w:rsidDel="00000000" w:rsidP="00000000" w:rsidRDefault="00000000" w:rsidRPr="00000000" w14:paraId="00000004">
      <w:pPr>
        <w:ind w:left="36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HMO PRE-EXISTING CONDITION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following are considered as Pre-existing Conditions:</w:t>
      </w:r>
    </w:p>
    <w:p w:rsidR="00000000" w:rsidDel="00000000" w:rsidP="00000000" w:rsidRDefault="00000000" w:rsidRPr="00000000" w14:paraId="0000000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Tumors/</w:t>
      </w:r>
      <w:r w:rsidDel="00000000" w:rsidR="00000000" w:rsidRPr="00000000">
        <w:rPr>
          <w:rFonts w:ascii="Arial" w:cs="Arial" w:eastAsia="Arial" w:hAnsi="Arial"/>
          <w:rtl w:val="0"/>
        </w:rPr>
        <w:t xml:space="preserve">Cysts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on skin, muscular tissue, bone</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or any form of blood </w:t>
      </w:r>
      <w:r w:rsidDel="00000000" w:rsidR="00000000" w:rsidRPr="00000000">
        <w:rPr>
          <w:rFonts w:ascii="Arial" w:cs="Arial" w:eastAsia="Arial" w:hAnsi="Arial"/>
          <w:rtl w:val="0"/>
        </w:rPr>
        <w:t xml:space="preserve">dyscrasias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Cerebrovascular Accident or Stroke / Transient Ischemic Attack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Seizure disorders / Epilepsy</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Spinal Column abnormalities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Collagen Disease (Arthritides) like Osteoarthritis, Gouty arthritis, Rheumatoid Arthritis, Spondyloarthropabics, Sjogren’s Syndrome, Vasculitis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Cataract / Glaucoma</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ENT conditions requiring surgery (Tonsillitis, abnormalities of </w:t>
      </w: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nasal septum, </w:t>
      </w:r>
      <w:r w:rsidDel="00000000" w:rsidR="00000000" w:rsidRPr="00000000">
        <w:rPr>
          <w:rFonts w:ascii="Arial" w:cs="Arial" w:eastAsia="Arial" w:hAnsi="Arial"/>
          <w:rtl w:val="0"/>
        </w:rPr>
        <w:t xml:space="preserve">turbinates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that are not congenital), Chronic Otitis Externa / Media and chronic Sinusitis, Chronic Mastoiditis.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Tuberculosis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Chronic Obstructive </w:t>
      </w:r>
      <w:r w:rsidDel="00000000" w:rsidR="00000000" w:rsidRPr="00000000">
        <w:rPr>
          <w:rFonts w:ascii="Arial" w:cs="Arial" w:eastAsia="Arial" w:hAnsi="Arial"/>
          <w:rtl w:val="0"/>
        </w:rPr>
        <w:t xml:space="preserve">Pulmonary</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Disease (Chronic Bronchitis, Emphysema &amp; Bronchiectasis), Bronchial Asthma and its complications (e.g. Atelectasis, Pneumothorax)</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Hypertension and other Cardiovascular diseases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Chronic Liver Diseases (Chronic Active Hepatitis, Liver Cirrhosis; Fatty Liver, Hepatoma)</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Chronic Cholecystitis, Stones of the Hepato-Biliary System (Choledocholithiasis, Cholelithiasis, etc.) Ascending Cholangitis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Calculi (Nephrolithiasis, Cystolithiasis, etc.)</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Hernias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Endometriosis and other Chronic Gynecologic diseases (e.g. Chronic Cervicitis)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Prostate Disorders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Hemorrhoids and Anal fistulae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Endocrine diseases such as: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Diseases of the anterior pituitary and posterior pituitary (SIADH, Diabetes Insipictus)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Hyperthyroidism (e.g. Grave’s Disease, Thyroid Storm), Thyroiditis, Thyroid nodule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Primary and Secondary Hypothyroidism</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Diabetes Mellitus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Tumors of different organs (benign and malignant)</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Hallux Valgus</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HMO EXCLUSIONS</w:t>
      </w:r>
    </w:p>
    <w:p w:rsidR="00000000" w:rsidDel="00000000" w:rsidP="00000000" w:rsidRDefault="00000000" w:rsidRPr="00000000" w14:paraId="0000002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Long-term rehabilitation and psychiatric care </w:t>
      </w:r>
      <w:r w:rsidDel="00000000" w:rsidR="00000000" w:rsidRPr="00000000">
        <w:rPr>
          <w:rFonts w:ascii="Arial" w:cs="Arial" w:eastAsia="Arial" w:hAnsi="Arial"/>
          <w:rtl w:val="0"/>
        </w:rPr>
        <w:t xml:space="preserve">and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psychological illnesses and conditions including neurotic and psychotic behavior disorders; </w:t>
      </w:r>
      <w:r w:rsidDel="00000000" w:rsidR="00000000" w:rsidRPr="00000000">
        <w:rPr>
          <w:rFonts w:ascii="Arial" w:cs="Arial" w:eastAsia="Arial" w:hAnsi="Arial"/>
          <w:rtl w:val="0"/>
        </w:rPr>
        <w:t xml:space="preserve">and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anxiety disorders.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Developmental disorders including functional disorders of the mind, such as but not limited to Attention-deficit Disorder (ADD) or attention-Deficit Hyperactivity Disorder (ADHD), Autism Spectrum Disorders, Bipolar Disorders, Central Auditory Processing Disorder (CAPD), Cerebral Palsy, Down Syndrome, Neural Tube Defects, and Mental Retardation.</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Congenital, genetic</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and hereditary diseases and their complications </w:t>
      </w:r>
      <w:r w:rsidDel="00000000" w:rsidR="00000000" w:rsidRPr="00000000">
        <w:rPr>
          <w:rFonts w:ascii="Arial" w:cs="Arial" w:eastAsia="Arial" w:hAnsi="Arial"/>
          <w:rtl w:val="0"/>
        </w:rPr>
        <w:t xml:space="preserve">affect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functions of individuals.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Sexually transmitted diseases including genital wards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Injuries resulting from direct participation in riots, strikes, and other civil disturbances.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Infectious </w:t>
      </w:r>
      <w:r w:rsidDel="00000000" w:rsidR="00000000" w:rsidRPr="00000000">
        <w:rPr>
          <w:rFonts w:ascii="Arial" w:cs="Arial" w:eastAsia="Arial" w:hAnsi="Arial"/>
          <w:rtl w:val="0"/>
        </w:rPr>
        <w:t xml:space="preserve">diseases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(i.e. Avian Flu, Meningococcemia, etc.) that are declared epidemic or pandemic by the Department of Health, World Health Organization</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or any recognized health authority.</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Aesthetic, cosmetic</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and reconstructive surgery or any consultation or treatment for any beautification purposes except if necessary, to treat a functional defect due to accidental injury within the initial confinement.</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Maternity care and all other conditions, including pre and post-natal consultations, related and/or resulting from pregnancy and/or delivery which affect the conditions of the principal Member and the unborn child.</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Circumcision (except for treatment of urological conditions), sex transformation, diagnosis, treatment</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and procedures related to fertility or infertility, artificial insemination, sterilization or reversal of such procedures and their complications.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Experimental medical procedures and </w:t>
      </w:r>
      <w:r w:rsidDel="00000000" w:rsidR="00000000" w:rsidRPr="00000000">
        <w:rPr>
          <w:rFonts w:ascii="Arial" w:cs="Arial" w:eastAsia="Arial" w:hAnsi="Arial"/>
          <w:rtl w:val="0"/>
        </w:rPr>
        <w:t xml:space="preserve">their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complications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Acupuncture, acupressure, ch</w:t>
      </w:r>
      <w:r w:rsidDel="00000000" w:rsidR="00000000" w:rsidRPr="00000000">
        <w:rPr>
          <w:rFonts w:ascii="Arial" w:cs="Arial" w:eastAsia="Arial" w:hAnsi="Arial"/>
          <w:rtl w:val="0"/>
        </w:rPr>
        <w:t xml:space="preserve">y</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rotherapy</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and other forms of alternative medicine and their complications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Routine physical examinations </w:t>
      </w:r>
      <w:r w:rsidDel="00000000" w:rsidR="00000000" w:rsidRPr="00000000">
        <w:rPr>
          <w:rFonts w:ascii="Arial" w:cs="Arial" w:eastAsia="Arial" w:hAnsi="Arial"/>
          <w:rtl w:val="0"/>
        </w:rPr>
        <w:t xml:space="preserve">are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required for obtaining or continuing employment, </w:t>
      </w:r>
      <w:r w:rsidDel="00000000" w:rsidR="00000000" w:rsidRPr="00000000">
        <w:rPr>
          <w:rFonts w:ascii="Arial" w:cs="Arial" w:eastAsia="Arial" w:hAnsi="Arial"/>
          <w:rtl w:val="0"/>
        </w:rPr>
        <w:t xml:space="preserve">requirements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in school, insurance, government licensing, health </w:t>
      </w:r>
      <w:r w:rsidDel="00000000" w:rsidR="00000000" w:rsidRPr="00000000">
        <w:rPr>
          <w:rFonts w:ascii="Arial" w:cs="Arial" w:eastAsia="Arial" w:hAnsi="Arial"/>
          <w:rtl w:val="0"/>
        </w:rPr>
        <w:t xml:space="preserve">permits,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and other similar purposes.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 screening tests.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Treatment for injury and its complications resulting from self-inflicted injuries including infections as a result of tattoos, piercing of the ear or in any body parts whether self-inflicted or done by a third party</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or attempted suicide or self-destruction, whether sane or insane.</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Treatment of any injury received wherein there is negligence, unauthorized use of prohibited or regulated drugs, alcoholic liquor intake, direct or indirect participation in the commission of a crime whether consummated or not, violation of a law or ordinance</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or unnecessary exposure to imminent danger, knowingly or unknowingly, or </w:t>
      </w:r>
      <w:r w:rsidDel="00000000" w:rsidR="00000000" w:rsidRPr="00000000">
        <w:rPr>
          <w:rFonts w:ascii="Arial" w:cs="Arial" w:eastAsia="Arial" w:hAnsi="Arial"/>
          <w:rtl w:val="0"/>
        </w:rPr>
        <w:t xml:space="preserve">health hazard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by the member.</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Treatment of injuries or illnesses caused directly or indirectly by engaging in any professional sport or hazardous activity such as but not limited to scuba diving, surfing, water skiing, mountain climbing, rock climbing, mountaineering, parachuting, airsoft, drag racing, paintballing, wakeboarding</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and bungee jumping.</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Treatment of injuries or illnesses resulting from war and any combat-related activities while in military service.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Treatment for Chronic dermatoses.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Services obtained for non-emergency conditions from physicians and hospitals in any of the following circumstances: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Non-affiliated Physicians in Non-affiliated hospitals or non-affiliated clinics.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Non-affiliated physicians in Affiliated Hospitals or affiliated clinics.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Affiliated Physicians in non-affiliated hospitals or non-affiliated clinics or </w:t>
      </w:r>
      <w:r w:rsidDel="00000000" w:rsidR="00000000" w:rsidRPr="00000000">
        <w:rPr>
          <w:rFonts w:ascii="Arial" w:cs="Arial" w:eastAsia="Arial" w:hAnsi="Arial"/>
          <w:rtl w:val="0"/>
        </w:rPr>
        <w:t xml:space="preserve">other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              healthcare facilities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Additional hospital charges and physicians’ professional fees resulting from:</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Room upgrading</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beyond twenty-four (24) hours during Emergency Conditions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Extension of hospital stay despite of release of discharge order from Member’s Attending Physician</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Fees of assistant surgeons for surgeries with less than 250RUV units / resident doctors who assisted the Attending physician in the process of rendering the medical services shall not be chargeable to the member and/or 1CHMF except for hospitals that do not have resident physicians to assist during surgeries subject to the prior approval of 1CHMF.</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Use of extra bed, TV, electric fan, DVD/VCD, and other similar items unless such appliances and items are necessarily and ordinarily included in the Member’s room and board accommodations.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Extra food; toilet articles like face towel, soap, toothbrush and the like;</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Difference in room and board accommodation, the incremental rate differences for professional fees, diagnostic and laboratory examinations, and other ancillary medical services brought about by obtaining a room and board accommodation higher than the member’s room and board accommodation limit</w:t>
        <w:tab/>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Services of a private or a special nurse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 other items are not medically necessary in the medical management of the member.</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Routine physical examinations </w:t>
      </w:r>
      <w:r w:rsidDel="00000000" w:rsidR="00000000" w:rsidRPr="00000000">
        <w:rPr>
          <w:rFonts w:ascii="Arial" w:cs="Arial" w:eastAsia="Arial" w:hAnsi="Arial"/>
          <w:rtl w:val="0"/>
        </w:rPr>
        <w:t xml:space="preserve">are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required for obtaining or continuing employment, </w:t>
      </w:r>
      <w:r w:rsidDel="00000000" w:rsidR="00000000" w:rsidRPr="00000000">
        <w:rPr>
          <w:rFonts w:ascii="Arial" w:cs="Arial" w:eastAsia="Arial" w:hAnsi="Arial"/>
          <w:rtl w:val="0"/>
        </w:rPr>
        <w:t xml:space="preserve">requirements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in school, </w:t>
      </w:r>
      <w:r w:rsidDel="00000000" w:rsidR="00000000" w:rsidRPr="00000000">
        <w:rPr>
          <w:rFonts w:ascii="Arial" w:cs="Arial" w:eastAsia="Arial" w:hAnsi="Arial"/>
          <w:rtl w:val="0"/>
        </w:rPr>
        <w:t xml:space="preserve">insurance/travel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or government licensing, health permit</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and other similar purposes.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Custodial, Domiciliary, convalescent and intermediate care</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Medical certificates.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Professional fees of medico-legal officer/s.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 expenses incurred in the process of organ donation and transplantation if the member is the donor and its complications.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Benefits covered by PhilHealth and all other </w:t>
      </w:r>
      <w:r w:rsidDel="00000000" w:rsidR="00000000" w:rsidRPr="00000000">
        <w:rPr>
          <w:rFonts w:ascii="Arial" w:cs="Arial" w:eastAsia="Arial" w:hAnsi="Arial"/>
          <w:rtl w:val="0"/>
        </w:rPr>
        <w:t xml:space="preserve">government-funded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health care entitlement as provided for by law.</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Cost of the medical services and professional fees </w:t>
      </w:r>
      <w:r w:rsidDel="00000000" w:rsidR="00000000" w:rsidRPr="00000000">
        <w:rPr>
          <w:rFonts w:ascii="Arial" w:cs="Arial" w:eastAsia="Arial" w:hAnsi="Arial"/>
          <w:rtl w:val="0"/>
        </w:rPr>
        <w:t xml:space="preserve">over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MBL.</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Purchase of lease of any Durable Medical Equipment, oxygen dispensing equipment, and other oxygen except during covered in-patient care.</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DISEASES COVERED FROM THE FIRST YEAR OF MEMBERSHIP</w:t>
      </w:r>
    </w:p>
    <w:p w:rsidR="00000000" w:rsidDel="00000000" w:rsidP="00000000" w:rsidRDefault="00000000" w:rsidRPr="00000000" w14:paraId="0000004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Acute Pancreatitis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Acute Bronchitis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Acute Appendicitis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Allergies (except Asthma)</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Amoebiasis and other forms of Gastroenteritis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Bacillary Dysentery</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Brucellosis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Chickenpox</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Constipation</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Conjunctivitis (Sore eyes)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Dengue Fever</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Heart burn</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Hepatitis A (Viral)</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Impetigo</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Intestinal parasitism</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Influenza</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Iron Deficiency Anemia</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Laryngitis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Malaria</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Measles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Migraine (common &amp; classical)</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Otitis Media (acute)</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Pharyngitis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Roseola Infantum</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Scarlet Fever</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Sinusitis (not requiring surgery)</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Tonsillitis (not requiring surgery)</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Typhoid Fever &amp; other enteric infections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Urinary Tract Infection</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Whooping Cough</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Upper and Lower Respiratory Tract Infections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ACCIDENT</w:t>
      </w:r>
    </w:p>
    <w:p w:rsidR="00000000" w:rsidDel="00000000" w:rsidP="00000000" w:rsidRDefault="00000000" w:rsidRPr="00000000" w14:paraId="0000006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Accidental Poisoning</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Minor Burns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Lacerations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Motor Vehicle Accidents (on a reimbursement basis only)</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Motorcycle Accidents/</w:t>
      </w:r>
      <w:r w:rsidDel="00000000" w:rsidR="00000000" w:rsidRPr="00000000">
        <w:rPr>
          <w:rFonts w:ascii="Arial" w:cs="Arial" w:eastAsia="Arial" w:hAnsi="Arial"/>
          <w:rtl w:val="0"/>
        </w:rPr>
        <w:t xml:space="preserve">deaths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for members aged “66 to 75 years old” are not covered.</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jc w:val="both"/>
        <w:rPr>
          <w:rFonts w:ascii="Arial" w:cs="Arial" w:eastAsia="Arial" w:hAnsi="Arial"/>
        </w:rPr>
      </w:pPr>
      <w:r w:rsidDel="00000000" w:rsidR="00000000" w:rsidRPr="00000000">
        <w:rPr>
          <w:rFonts w:ascii="Arial" w:cs="Arial" w:eastAsia="Arial" w:hAnsi="Arial"/>
          <w:b w:val="1"/>
          <w:rtl w:val="0"/>
        </w:rPr>
        <w:t xml:space="preserve"> </w:t>
        <w:tab/>
      </w:r>
      <w:r w:rsidDel="00000000" w:rsidR="00000000" w:rsidRPr="00000000">
        <w:rPr>
          <w:rtl w:val="0"/>
        </w:rPr>
      </w:r>
    </w:p>
    <w:sectPr>
      <w:headerReference r:id="rId7" w:type="default"/>
      <w:headerReference r:id="rId8" w:type="first"/>
      <w:footerReference r:id="rId9" w:type="default"/>
      <w:pgSz w:h="15840" w:w="12240" w:orient="portrait"/>
      <w:pgMar w:bottom="1350" w:top="1440" w:left="720" w:right="900" w:header="630" w:footer="18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rPr>
    </w:pPr>
    <w:r w:rsidDel="00000000" w:rsidR="00000000" w:rsidRPr="00000000">
      <w:rPr>
        <w:rtl w:val="0"/>
      </w:rPr>
    </w:r>
  </w:p>
  <w:tbl>
    <w:tblPr>
      <w:tblStyle w:val="Table3"/>
      <w:tblW w:w="10962.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960"/>
      <w:gridCol w:w="3690"/>
      <w:tblGridChange w:id="0">
        <w:tblGrid>
          <w:gridCol w:w="3312"/>
          <w:gridCol w:w="3960"/>
          <w:gridCol w:w="3690"/>
        </w:tblGrid>
      </w:tblGridChange>
    </w:tblGrid>
    <w:tr>
      <w:trPr>
        <w:cantSplit w:val="0"/>
        <w:trHeight w:val="517" w:hRule="atLeast"/>
        <w:tblHeader w:val="0"/>
      </w:trPr>
      <w:tc>
        <w:tcPr>
          <w:shd w:fill="auto" w:val="clear"/>
        </w:tcPr>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PREPARED BY:</w:t>
          </w:r>
        </w:p>
      </w:tc>
      <w:tc>
        <w:tcPr>
          <w:shd w:fill="auto" w:val="clear"/>
        </w:tcPr>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REVIEWED BY MANCOM MEMBERS REPRESENTED BY:</w:t>
          </w:r>
        </w:p>
      </w:tc>
      <w:tc>
        <w:tcPr>
          <w:shd w:fill="auto" w:val="clear"/>
        </w:tcPr>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APPROVED BY BOD REPRESENTED BY:</w:t>
          </w:r>
        </w:p>
      </w:tc>
    </w:tr>
    <w:tr>
      <w:trPr>
        <w:cantSplit w:val="0"/>
        <w:trHeight w:val="727" w:hRule="atLeast"/>
        <w:tblHeader w:val="0"/>
      </w:trPr>
      <w:tc>
        <w:tcPr>
          <w:shd w:fill="auto" w:val="clear"/>
        </w:tcPr>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br w:type="textWrapping"/>
          </w:r>
        </w:p>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INES GAY PECSON</w:t>
          </w:r>
        </w:p>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INBD MANAGER</w:t>
          </w:r>
          <w:r w:rsidDel="00000000" w:rsidR="00000000" w:rsidRPr="00000000">
            <w:rPr>
              <w:rtl w:val="0"/>
            </w:rPr>
          </w:r>
        </w:p>
      </w:tc>
      <w:tc>
        <w:tcPr>
          <w:shd w:fill="auto" w:val="clear"/>
        </w:tcPr>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EDGARDO A. MICAYABAS</w:t>
          </w:r>
        </w:p>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CHIEF EXECUTIVE OFFICER</w:t>
          </w:r>
          <w:r w:rsidDel="00000000" w:rsidR="00000000" w:rsidRPr="00000000">
            <w:rPr>
              <w:rtl w:val="0"/>
            </w:rPr>
          </w:r>
        </w:p>
      </w:tc>
      <w:tc>
        <w:tcPr>
          <w:shd w:fill="auto" w:val="clear"/>
        </w:tcPr>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CECILIA M. LAGUNA</w:t>
          </w:r>
        </w:p>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CHAIRPERSON</w:t>
          </w:r>
        </w:p>
      </w:tc>
    </w:tr>
  </w:tbl>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center" w:leader="none" w:pos="4680"/>
        <w:tab w:val="right" w:leader="none" w:pos="9360"/>
        <w:tab w:val="center" w:leader="none" w:pos="4572"/>
      </w:tabs>
      <w:jc w:val="both"/>
      <w:rPr>
        <w:rFonts w:ascii="Arial" w:cs="Arial" w:eastAsia="Arial" w:hAnsi="Arial"/>
        <w:color w:val="000000"/>
        <w:sz w:val="18"/>
        <w:szCs w:val="18"/>
      </w:rPr>
    </w:pPr>
    <w:r w:rsidDel="00000000" w:rsidR="00000000" w:rsidRPr="00000000">
      <w:rPr>
        <w:rFonts w:ascii="Arial" w:cs="Arial" w:eastAsia="Arial" w:hAnsi="Arial"/>
        <w:color w:val="000000"/>
        <w:sz w:val="14"/>
        <w:szCs w:val="14"/>
        <w:rtl w:val="0"/>
      </w:rPr>
      <w:t xml:space="preserve">NOTE:  Any hard copy of this document without the </w:t>
    </w:r>
    <w:r w:rsidDel="00000000" w:rsidR="00000000" w:rsidRPr="00000000">
      <w:rPr>
        <w:rFonts w:ascii="Arial" w:cs="Arial" w:eastAsia="Arial" w:hAnsi="Arial"/>
        <w:b w:val="1"/>
        <w:color w:val="000000"/>
        <w:sz w:val="14"/>
        <w:szCs w:val="14"/>
        <w:rtl w:val="0"/>
      </w:rPr>
      <w:t xml:space="preserve">CONTROLLED COPY</w:t>
    </w:r>
    <w:r w:rsidDel="00000000" w:rsidR="00000000" w:rsidRPr="00000000">
      <w:rPr>
        <w:rFonts w:ascii="Arial" w:cs="Arial" w:eastAsia="Arial" w:hAnsi="Arial"/>
        <w:color w:val="000000"/>
        <w:sz w:val="14"/>
        <w:szCs w:val="14"/>
        <w:rtl w:val="0"/>
      </w:rPr>
      <w:t xml:space="preserve"> seal or stamp in ref or any unprotected soft copy is regarded as an unofficial, uncontrolled and void copy. No part of this document shall be used or reproduced in any form or means, or stored in a database or retrieval system without the written permission of the CHAIRPERSON OR AUTHORIZED REPRESENTATIVE.</w:t>
    </w: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680"/>
        <w:tab w:val="right" w:leader="none" w:pos="9360"/>
        <w:tab w:val="center" w:leader="none" w:pos="4572"/>
      </w:tabs>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680"/>
        <w:tab w:val="right" w:leader="none" w:pos="9360"/>
      </w:tabs>
      <w:rPr>
        <w:rFonts w:ascii="Arial" w:cs="Arial" w:eastAsia="Arial" w:hAnsi="Arial"/>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1"/>
      <w:tblW w:w="105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41"/>
      <w:gridCol w:w="4667"/>
      <w:gridCol w:w="2607"/>
      <w:gridCol w:w="1603"/>
      <w:tblGridChange w:id="0">
        <w:tblGrid>
          <w:gridCol w:w="1641"/>
          <w:gridCol w:w="4667"/>
          <w:gridCol w:w="2607"/>
          <w:gridCol w:w="1603"/>
        </w:tblGrid>
      </w:tblGridChange>
    </w:tblGrid>
    <w:tr>
      <w:trPr>
        <w:cantSplit w:val="0"/>
        <w:trHeight w:val="938" w:hRule="atLeast"/>
        <w:tblHeader w:val="0"/>
      </w:trPr>
      <w:tc>
        <w:tcPr>
          <w:vMerge w:val="restart"/>
          <w:tcBorders>
            <w:top w:color="000000" w:space="0" w:sz="4" w:val="single"/>
            <w:left w:color="000000" w:space="0" w:sz="4" w:val="single"/>
          </w:tcBorders>
          <w:vAlign w:val="center"/>
        </w:tcPr>
        <w:p w:rsidR="00000000" w:rsidDel="00000000" w:rsidP="00000000" w:rsidRDefault="00000000" w:rsidRPr="00000000" w14:paraId="00000074">
          <w:pPr>
            <w:ind w:left="-90" w:firstLine="0"/>
            <w:jc w:val="center"/>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-14604</wp:posOffset>
                </wp:positionH>
                <wp:positionV relativeFrom="paragraph">
                  <wp:posOffset>40640</wp:posOffset>
                </wp:positionV>
                <wp:extent cx="948690" cy="892175"/>
                <wp:effectExtent b="0" l="0" r="0" t="0"/>
                <wp:wrapNone/>
                <wp:docPr id="1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48690" cy="892175"/>
                        </a:xfrm>
                        <a:prstGeom prst="rect"/>
                        <a:ln/>
                      </pic:spPr>
                    </pic:pic>
                  </a:graphicData>
                </a:graphic>
              </wp:anchor>
            </w:drawing>
          </w:r>
        </w:p>
      </w:tc>
      <w:tc>
        <w:tcPr>
          <w:vMerge w:val="restart"/>
          <w:tcBorders>
            <w:top w:color="000000" w:space="0" w:sz="4" w:val="single"/>
          </w:tcBorders>
          <w:vAlign w:val="center"/>
        </w:tcPr>
        <w:p w:rsidR="00000000" w:rsidDel="00000000" w:rsidP="00000000" w:rsidRDefault="00000000" w:rsidRPr="00000000" w14:paraId="00000075">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7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FIRST COMMUNITY COOPERATIVE</w:t>
          </w:r>
        </w:p>
        <w:p w:rsidR="00000000" w:rsidDel="00000000" w:rsidP="00000000" w:rsidRDefault="00000000" w:rsidRPr="00000000" w14:paraId="00000077">
          <w:pPr>
            <w:jc w:val="center"/>
            <w:rPr>
              <w:rFonts w:ascii="Arial" w:cs="Arial" w:eastAsia="Arial" w:hAnsi="Arial"/>
              <w:b w:val="1"/>
              <w:sz w:val="22"/>
              <w:szCs w:val="22"/>
            </w:rPr>
          </w:pPr>
          <w:r w:rsidDel="00000000" w:rsidR="00000000" w:rsidRPr="00000000">
            <w:rPr>
              <w:rFonts w:ascii="Arial" w:cs="Arial" w:eastAsia="Arial" w:hAnsi="Arial"/>
              <w:b w:val="1"/>
              <w:sz w:val="28"/>
              <w:szCs w:val="28"/>
              <w:rtl w:val="0"/>
            </w:rPr>
            <w:t xml:space="preserve">INSURANCE MANUAL POLICY</w:t>
          </w:r>
          <w:r w:rsidDel="00000000" w:rsidR="00000000" w:rsidRPr="00000000">
            <w:rPr>
              <w:rtl w:val="0"/>
            </w:rPr>
          </w:r>
        </w:p>
        <w:p w:rsidR="00000000" w:rsidDel="00000000" w:rsidP="00000000" w:rsidRDefault="00000000" w:rsidRPr="00000000" w14:paraId="00000078">
          <w:pPr>
            <w:rPr>
              <w:rFonts w:ascii="Arial" w:cs="Arial" w:eastAsia="Arial" w:hAnsi="Arial"/>
              <w:i w:val="1"/>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0079">
          <w:pPr>
            <w:jc w:val="center"/>
            <w:rPr>
              <w:rFonts w:ascii="Arial" w:cs="Arial" w:eastAsia="Arial" w:hAnsi="Arial"/>
              <w:b w:val="1"/>
              <w:sz w:val="30"/>
              <w:szCs w:val="30"/>
            </w:rPr>
          </w:pPr>
          <w:r w:rsidDel="00000000" w:rsidR="00000000" w:rsidRPr="00000000">
            <w:rPr>
              <w:rFonts w:ascii="Arial" w:cs="Arial" w:eastAsia="Arial" w:hAnsi="Arial"/>
              <w:b w:val="1"/>
              <w:sz w:val="30"/>
              <w:szCs w:val="30"/>
              <w:rtl w:val="0"/>
            </w:rPr>
            <w:t xml:space="preserve">FICCO-IMP-XVI-02</w:t>
          </w:r>
        </w:p>
      </w:tc>
    </w:tr>
    <w:tr>
      <w:trPr>
        <w:cantSplit w:val="0"/>
        <w:trHeight w:val="1120" w:hRule="atLeast"/>
        <w:tblHeader w:val="0"/>
      </w:trPr>
      <w:tc>
        <w:tcPr>
          <w:vMerge w:val="continue"/>
          <w:tcBorders>
            <w:top w:color="000000" w:space="0" w:sz="4" w:val="single"/>
            <w:left w:color="000000" w:space="0" w:sz="4" w:val="single"/>
          </w:tcBorders>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30"/>
              <w:szCs w:val="30"/>
            </w:rPr>
          </w:pPr>
          <w:r w:rsidDel="00000000" w:rsidR="00000000" w:rsidRPr="00000000">
            <w:rPr>
              <w:rtl w:val="0"/>
            </w:rPr>
          </w:r>
        </w:p>
      </w:tc>
      <w:tc>
        <w:tcPr>
          <w:vMerge w:val="continue"/>
          <w:tcBorders>
            <w:top w:color="000000" w:space="0" w:sz="4" w:val="single"/>
          </w:tcBorders>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30"/>
              <w:szCs w:val="30"/>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07D">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PAGE NUMBER:</w:t>
          </w:r>
        </w:p>
      </w:tc>
      <w:tc>
        <w:tcPr>
          <w:tcBorders>
            <w:left w:color="000000" w:space="0" w:sz="4" w:val="single"/>
          </w:tcBorders>
          <w:vAlign w:val="center"/>
        </w:tcPr>
        <w:p w:rsidR="00000000" w:rsidDel="00000000" w:rsidP="00000000" w:rsidRDefault="00000000" w:rsidRPr="00000000" w14:paraId="0000007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Page </w:t>
          </w:r>
          <w:r w:rsidDel="00000000" w:rsidR="00000000" w:rsidRPr="00000000">
            <w:rPr>
              <w:rFonts w:ascii="Arial" w:cs="Arial" w:eastAsia="Arial" w:hAnsi="Arial"/>
              <w:b w:val="1"/>
              <w:sz w:val="20"/>
              <w:szCs w:val="20"/>
            </w:rPr>
            <w:fldChar w:fldCharType="begin"/>
            <w:instrText xml:space="preserve">PAGE</w:instrText>
            <w:fldChar w:fldCharType="separate"/>
            <w:fldChar w:fldCharType="end"/>
          </w:r>
          <w:r w:rsidDel="00000000" w:rsidR="00000000" w:rsidRPr="00000000">
            <w:rPr>
              <w:rFonts w:ascii="Arial" w:cs="Arial" w:eastAsia="Arial" w:hAnsi="Arial"/>
              <w:b w:val="1"/>
              <w:sz w:val="20"/>
              <w:szCs w:val="20"/>
              <w:rtl w:val="0"/>
            </w:rPr>
            <w:t xml:space="preserve"> of </w:t>
          </w:r>
          <w:r w:rsidDel="00000000" w:rsidR="00000000" w:rsidRPr="00000000">
            <w:rPr>
              <w:rFonts w:ascii="Arial" w:cs="Arial" w:eastAsia="Arial" w:hAnsi="Arial"/>
              <w:b w:val="1"/>
              <w:sz w:val="20"/>
              <w:szCs w:val="20"/>
            </w:rPr>
            <w:fldChar w:fldCharType="begin"/>
            <w:instrText xml:space="preserve">NUMPAGES</w:instrText>
            <w:fldChar w:fldCharType="separate"/>
            <w:fldChar w:fldCharType="end"/>
          </w:r>
          <w:r w:rsidDel="00000000" w:rsidR="00000000" w:rsidRPr="00000000">
            <w:rPr>
              <w:rtl w:val="0"/>
            </w:rPr>
          </w:r>
        </w:p>
      </w:tc>
    </w:tr>
    <w:tr>
      <w:trPr>
        <w:cantSplit w:val="0"/>
        <w:trHeight w:val="349" w:hRule="atLeast"/>
        <w:tblHeader w:val="0"/>
      </w:trPr>
      <w:tc>
        <w:tcPr>
          <w:gridSpan w:val="2"/>
          <w:tcBorders>
            <w:left w:color="000000" w:space="0" w:sz="4" w:val="single"/>
          </w:tcBorders>
          <w:vAlign w:val="center"/>
        </w:tcPr>
        <w:p w:rsidR="00000000" w:rsidDel="00000000" w:rsidP="00000000" w:rsidRDefault="00000000" w:rsidRPr="00000000" w14:paraId="0000007F">
          <w:pPr>
            <w:rPr>
              <w:rFonts w:ascii="Arial" w:cs="Arial" w:eastAsia="Arial" w:hAnsi="Arial"/>
              <w:sz w:val="20"/>
              <w:szCs w:val="20"/>
            </w:rPr>
          </w:pPr>
          <w:r w:rsidDel="00000000" w:rsidR="00000000" w:rsidRPr="00000000">
            <w:rPr>
              <w:rFonts w:ascii="Arial" w:cs="Arial" w:eastAsia="Arial" w:hAnsi="Arial"/>
              <w:sz w:val="20"/>
              <w:szCs w:val="20"/>
              <w:rtl w:val="0"/>
            </w:rPr>
            <w:t xml:space="preserve">CHAPTER: </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APPENDICES</w:t>
          </w:r>
        </w:p>
      </w:tc>
      <w:tc>
        <w:tcPr>
          <w:tcBorders>
            <w:right w:color="000000" w:space="0" w:sz="4" w:val="single"/>
          </w:tcBorders>
          <w:vAlign w:val="center"/>
        </w:tcPr>
        <w:p w:rsidR="00000000" w:rsidDel="00000000" w:rsidP="00000000" w:rsidRDefault="00000000" w:rsidRPr="00000000" w14:paraId="00000081">
          <w:pPr>
            <w:rPr>
              <w:rFonts w:ascii="Arial" w:cs="Arial" w:eastAsia="Arial" w:hAnsi="Arial"/>
              <w:sz w:val="20"/>
              <w:szCs w:val="20"/>
            </w:rPr>
          </w:pPr>
          <w:r w:rsidDel="00000000" w:rsidR="00000000" w:rsidRPr="00000000">
            <w:rPr>
              <w:rFonts w:ascii="Arial" w:cs="Arial" w:eastAsia="Arial" w:hAnsi="Arial"/>
              <w:sz w:val="20"/>
              <w:szCs w:val="20"/>
              <w:rtl w:val="0"/>
            </w:rPr>
            <w:t xml:space="preserve">EFFECTIVITY DATE:</w:t>
          </w:r>
        </w:p>
      </w:tc>
      <w:tc>
        <w:tcPr>
          <w:tcBorders>
            <w:left w:color="000000" w:space="0" w:sz="4" w:val="single"/>
          </w:tcBorders>
          <w:vAlign w:val="center"/>
        </w:tcPr>
        <w:p w:rsidR="00000000" w:rsidDel="00000000" w:rsidP="00000000" w:rsidRDefault="00000000" w:rsidRPr="00000000" w14:paraId="00000082">
          <w:pPr>
            <w:rPr>
              <w:rFonts w:ascii="Arial" w:cs="Arial" w:eastAsia="Arial" w:hAnsi="Arial"/>
              <w:sz w:val="20"/>
              <w:szCs w:val="20"/>
            </w:rPr>
          </w:pPr>
          <w:r w:rsidDel="00000000" w:rsidR="00000000" w:rsidRPr="00000000">
            <w:rPr>
              <w:rtl w:val="0"/>
            </w:rPr>
          </w:r>
        </w:p>
      </w:tc>
    </w:tr>
    <w:tr>
      <w:trPr>
        <w:cantSplit w:val="0"/>
        <w:trHeight w:val="373" w:hRule="atLeast"/>
        <w:tblHeader w:val="0"/>
      </w:trPr>
      <w:tc>
        <w:tcPr>
          <w:gridSpan w:val="2"/>
          <w:tcBorders>
            <w:left w:color="000000" w:space="0" w:sz="4" w:val="single"/>
          </w:tcBorders>
          <w:vAlign w:val="center"/>
        </w:tcPr>
        <w:p w:rsidR="00000000" w:rsidDel="00000000" w:rsidP="00000000" w:rsidRDefault="00000000" w:rsidRPr="00000000" w14:paraId="00000083">
          <w:pPr>
            <w:rPr>
              <w:rFonts w:ascii="Arial" w:cs="Arial" w:eastAsia="Arial" w:hAnsi="Arial"/>
              <w:sz w:val="20"/>
              <w:szCs w:val="20"/>
            </w:rPr>
          </w:pPr>
          <w:r w:rsidDel="00000000" w:rsidR="00000000" w:rsidRPr="00000000">
            <w:rPr>
              <w:rFonts w:ascii="Arial" w:cs="Arial" w:eastAsia="Arial" w:hAnsi="Arial"/>
              <w:sz w:val="20"/>
              <w:szCs w:val="20"/>
              <w:rtl w:val="0"/>
            </w:rPr>
            <w:t xml:space="preserve">SECTION:  HMO EXCLUSION &amp; PRE-EXISTING CONDITION</w:t>
          </w:r>
        </w:p>
      </w:tc>
      <w:tc>
        <w:tcPr>
          <w:tcBorders>
            <w:right w:color="000000" w:space="0" w:sz="4" w:val="single"/>
          </w:tcBorders>
          <w:vAlign w:val="center"/>
        </w:tcPr>
        <w:p w:rsidR="00000000" w:rsidDel="00000000" w:rsidP="00000000" w:rsidRDefault="00000000" w:rsidRPr="00000000" w14:paraId="00000085">
          <w:pPr>
            <w:rPr>
              <w:rFonts w:ascii="Arial" w:cs="Arial" w:eastAsia="Arial" w:hAnsi="Arial"/>
              <w:sz w:val="20"/>
              <w:szCs w:val="20"/>
            </w:rPr>
          </w:pPr>
          <w:r w:rsidDel="00000000" w:rsidR="00000000" w:rsidRPr="00000000">
            <w:rPr>
              <w:rFonts w:ascii="Arial" w:cs="Arial" w:eastAsia="Arial" w:hAnsi="Arial"/>
              <w:sz w:val="20"/>
              <w:szCs w:val="20"/>
              <w:rtl w:val="0"/>
            </w:rPr>
            <w:t xml:space="preserve">REVISION DATE:</w:t>
          </w:r>
        </w:p>
      </w:tc>
      <w:tc>
        <w:tcPr>
          <w:tcBorders>
            <w:left w:color="000000" w:space="0" w:sz="4" w:val="single"/>
          </w:tcBorders>
          <w:vAlign w:val="center"/>
        </w:tcPr>
        <w:p w:rsidR="00000000" w:rsidDel="00000000" w:rsidP="00000000" w:rsidRDefault="00000000" w:rsidRPr="00000000" w14:paraId="00000086">
          <w:pPr>
            <w:jc w:val="center"/>
            <w:rPr>
              <w:rFonts w:ascii="Arial" w:cs="Arial" w:eastAsia="Arial" w:hAnsi="Arial"/>
              <w:sz w:val="20"/>
              <w:szCs w:val="20"/>
            </w:rPr>
          </w:pPr>
          <w:r w:rsidDel="00000000" w:rsidR="00000000" w:rsidRPr="00000000">
            <w:rPr>
              <w:rtl w:val="0"/>
            </w:rPr>
          </w:r>
        </w:p>
      </w:tc>
    </w:tr>
    <w:tr>
      <w:trPr>
        <w:cantSplit w:val="0"/>
        <w:trHeight w:val="359" w:hRule="atLeast"/>
        <w:tblHeader w:val="0"/>
      </w:trPr>
      <w:tc>
        <w:tcPr>
          <w:gridSpan w:val="2"/>
          <w:tcBorders>
            <w:left w:color="000000" w:space="0" w:sz="4" w:val="single"/>
            <w:bottom w:color="000000" w:space="0" w:sz="4" w:val="single"/>
          </w:tcBorders>
          <w:vAlign w:val="center"/>
        </w:tcPr>
        <w:p w:rsidR="00000000" w:rsidDel="00000000" w:rsidP="00000000" w:rsidRDefault="00000000" w:rsidRPr="00000000" w14:paraId="00000087">
          <w:pPr>
            <w:rPr>
              <w:rFonts w:ascii="Arial" w:cs="Arial" w:eastAsia="Arial" w:hAnsi="Arial"/>
              <w:sz w:val="20"/>
              <w:szCs w:val="20"/>
            </w:rPr>
          </w:pPr>
          <w:r w:rsidDel="00000000" w:rsidR="00000000" w:rsidRPr="00000000">
            <w:rPr>
              <w:rFonts w:ascii="Arial" w:cs="Arial" w:eastAsia="Arial" w:hAnsi="Arial"/>
              <w:sz w:val="20"/>
              <w:szCs w:val="20"/>
              <w:rtl w:val="0"/>
            </w:rPr>
            <w:t xml:space="preserve">SUBSECTION: </w:t>
          </w:r>
        </w:p>
      </w:tc>
      <w:tc>
        <w:tcPr>
          <w:tcBorders>
            <w:bottom w:color="000000" w:space="0" w:sz="4" w:val="single"/>
            <w:right w:color="000000" w:space="0" w:sz="4" w:val="single"/>
          </w:tcBorders>
          <w:vAlign w:val="center"/>
        </w:tcPr>
        <w:p w:rsidR="00000000" w:rsidDel="00000000" w:rsidP="00000000" w:rsidRDefault="00000000" w:rsidRPr="00000000" w14:paraId="00000089">
          <w:pPr>
            <w:rPr>
              <w:rFonts w:ascii="Arial" w:cs="Arial" w:eastAsia="Arial" w:hAnsi="Arial"/>
              <w:sz w:val="20"/>
              <w:szCs w:val="20"/>
            </w:rPr>
          </w:pPr>
          <w:r w:rsidDel="00000000" w:rsidR="00000000" w:rsidRPr="00000000">
            <w:rPr>
              <w:rFonts w:ascii="Arial" w:cs="Arial" w:eastAsia="Arial" w:hAnsi="Arial"/>
              <w:sz w:val="20"/>
              <w:szCs w:val="20"/>
              <w:rtl w:val="0"/>
            </w:rPr>
            <w:t xml:space="preserve">REVISION NUMBER:</w:t>
          </w:r>
        </w:p>
      </w:tc>
      <w:tc>
        <w:tcPr>
          <w:tcBorders>
            <w:left w:color="000000" w:space="0" w:sz="4" w:val="single"/>
            <w:bottom w:color="000000" w:space="0" w:sz="4" w:val="single"/>
          </w:tcBorders>
          <w:vAlign w:val="center"/>
        </w:tcPr>
        <w:p w:rsidR="00000000" w:rsidDel="00000000" w:rsidP="00000000" w:rsidRDefault="00000000" w:rsidRPr="00000000" w14:paraId="0000008A">
          <w:pPr>
            <w:jc w:val="center"/>
            <w:rPr>
              <w:rFonts w:ascii="Arial" w:cs="Arial" w:eastAsia="Arial" w:hAnsi="Arial"/>
            </w:rPr>
          </w:pPr>
          <w:r w:rsidDel="00000000" w:rsidR="00000000" w:rsidRPr="00000000">
            <w:rPr>
              <w:rFonts w:ascii="Arial" w:cs="Arial" w:eastAsia="Arial" w:hAnsi="Arial"/>
              <w:sz w:val="20"/>
              <w:szCs w:val="20"/>
              <w:rtl w:val="0"/>
            </w:rPr>
            <w:t xml:space="preserve">00</w:t>
          </w:r>
          <w:r w:rsidDel="00000000" w:rsidR="00000000" w:rsidRPr="00000000">
            <w:rPr>
              <w:rtl w:val="0"/>
            </w:rPr>
          </w:r>
        </w:p>
      </w:tc>
    </w:tr>
  </w:tbl>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680"/>
        <w:tab w:val="right" w:leader="none" w:pos="9360"/>
      </w:tabs>
      <w:rPr>
        <w:rFonts w:ascii="Arial" w:cs="Arial" w:eastAsia="Arial" w:hAnsi="Arial"/>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pacing w:line="276" w:lineRule="auto"/>
      <w:rPr>
        <w:rFonts w:ascii="Calibri" w:cs="Calibri" w:eastAsia="Calibri" w:hAnsi="Calibri"/>
        <w:color w:val="232323"/>
        <w:sz w:val="22"/>
        <w:szCs w:val="22"/>
      </w:rPr>
    </w:pPr>
    <w:r w:rsidDel="00000000" w:rsidR="00000000" w:rsidRPr="00000000">
      <w:rPr>
        <w:rtl w:val="0"/>
      </w:rPr>
    </w:r>
  </w:p>
  <w:tbl>
    <w:tblPr>
      <w:tblStyle w:val="Table2"/>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0"/>
      <w:gridCol w:w="5400"/>
      <w:tblGridChange w:id="0">
        <w:tblGrid>
          <w:gridCol w:w="5400"/>
          <w:gridCol w:w="5400"/>
        </w:tblGrid>
      </w:tblGridChange>
    </w:tblGrid>
    <w:tr>
      <w:trPr>
        <w:cantSplit w:val="0"/>
        <w:tblHeader w:val="0"/>
      </w:trPr>
      <w:tc>
        <w:tcPr/>
        <w:p w:rsidR="00000000" w:rsidDel="00000000" w:rsidP="00000000" w:rsidRDefault="00000000" w:rsidRPr="00000000" w14:paraId="0000008D">
          <w:pPr>
            <w:ind w:left="972" w:hanging="972"/>
            <w:rPr>
              <w:b w:val="1"/>
            </w:rPr>
          </w:pPr>
          <w:r w:rsidDel="00000000" w:rsidR="00000000" w:rsidRPr="00000000">
            <w:rPr>
              <w:rtl w:val="0"/>
            </w:rPr>
            <w:t xml:space="preserve">Subject:   </w:t>
          </w:r>
          <w:r w:rsidDel="00000000" w:rsidR="00000000" w:rsidRPr="00000000">
            <w:rPr>
              <w:b w:val="1"/>
              <w:rtl w:val="0"/>
            </w:rPr>
            <w:t xml:space="preserve">CREDIT RISK MANAGEMENT STRUCTURE - DUTIES AND RESPONSIBILITIES      </w:t>
          </w:r>
          <w:r w:rsidDel="00000000" w:rsidR="00000000" w:rsidRPr="00000000">
            <w:drawing>
              <wp:anchor allowOverlap="1" behindDoc="0" distB="0" distT="0" distL="0" distR="0" hidden="0" layoutInCell="1" locked="0" relativeHeight="0" simplePos="0">
                <wp:simplePos x="0" y="0"/>
                <wp:positionH relativeFrom="column">
                  <wp:posOffset>-43812</wp:posOffset>
                </wp:positionH>
                <wp:positionV relativeFrom="paragraph">
                  <wp:posOffset>-1021077</wp:posOffset>
                </wp:positionV>
                <wp:extent cx="1130300" cy="923925"/>
                <wp:effectExtent b="0" l="0" r="0" t="0"/>
                <wp:wrapSquare wrapText="bothSides" distB="0" distT="0" distL="0" distR="0"/>
                <wp:docPr descr="natcco logo with tag line" id="10" name="image1.jpg"/>
                <a:graphic>
                  <a:graphicData uri="http://schemas.openxmlformats.org/drawingml/2006/picture">
                    <pic:pic>
                      <pic:nvPicPr>
                        <pic:cNvPr descr="natcco logo with tag line" id="0" name="image1.jpg"/>
                        <pic:cNvPicPr preferRelativeResize="0"/>
                      </pic:nvPicPr>
                      <pic:blipFill>
                        <a:blip r:embed="rId1"/>
                        <a:srcRect b="0" l="0" r="0" t="0"/>
                        <a:stretch>
                          <a:fillRect/>
                        </a:stretch>
                      </pic:blipFill>
                      <pic:spPr>
                        <a:xfrm>
                          <a:off x="0" y="0"/>
                          <a:ext cx="1130300" cy="92392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1130300</wp:posOffset>
                    </wp:positionH>
                    <wp:positionV relativeFrom="paragraph">
                      <wp:posOffset>-1015999</wp:posOffset>
                    </wp:positionV>
                    <wp:extent cx="3390900" cy="942975"/>
                    <wp:effectExtent b="0" l="0" r="0" t="0"/>
                    <wp:wrapNone/>
                    <wp:docPr id="7" name=""/>
                    <a:graphic>
                      <a:graphicData uri="http://schemas.microsoft.com/office/word/2010/wordprocessingShape">
                        <wps:wsp>
                          <wps:cNvSpPr/>
                          <wps:cNvPr id="2" name="Shape 2"/>
                          <wps:spPr>
                            <a:xfrm>
                              <a:off x="3660075" y="3318038"/>
                              <a:ext cx="3371850" cy="923925"/>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ustria" w:cs="Lustria" w:eastAsia="Lustria" w:hAnsi="Lustria"/>
                                    <w:b w:val="1"/>
                                    <w:i w:val="0"/>
                                    <w:smallCaps w:val="0"/>
                                    <w:strike w:val="0"/>
                                    <w:color w:val="000000"/>
                                    <w:sz w:val="28"/>
                                    <w:vertAlign w:val="baseline"/>
                                  </w:rPr>
                                  <w:t xml:space="preserve">Name of Cooperative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1130300</wp:posOffset>
                    </wp:positionH>
                    <wp:positionV relativeFrom="paragraph">
                      <wp:posOffset>-1015999</wp:posOffset>
                    </wp:positionV>
                    <wp:extent cx="3390900" cy="942975"/>
                    <wp:effectExtent b="0" l="0" r="0" t="0"/>
                    <wp:wrapNone/>
                    <wp:docPr id="7"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3390900" cy="942975"/>
                            </a:xfrm>
                            <a:prstGeom prst="rect"/>
                            <a:ln/>
                          </pic:spPr>
                        </pic:pic>
                      </a:graphicData>
                    </a:graphic>
                  </wp:anchor>
                </w:drawing>
              </mc:Fallback>
            </mc:AlternateContent>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color w:val="000000"/>
              <w:rtl w:val="0"/>
            </w:rPr>
            <w:t xml:space="preserve">Effective Date: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1130300</wp:posOffset>
                    </wp:positionH>
                    <wp:positionV relativeFrom="paragraph">
                      <wp:posOffset>-1028699</wp:posOffset>
                    </wp:positionV>
                    <wp:extent cx="2241550" cy="952500"/>
                    <wp:effectExtent b="0" l="0" r="0" t="0"/>
                    <wp:wrapNone/>
                    <wp:docPr id="8" name=""/>
                    <a:graphic>
                      <a:graphicData uri="http://schemas.microsoft.com/office/word/2010/wordprocessingShape">
                        <wps:wsp>
                          <wps:cNvSpPr/>
                          <wps:cNvPr id="3" name="Shape 3"/>
                          <wps:spPr>
                            <a:xfrm>
                              <a:off x="4234750" y="3313275"/>
                              <a:ext cx="2222500" cy="9334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stria" w:cs="Lustria" w:eastAsia="Lustria" w:hAnsi="Lustria"/>
                                    <w:b w:val="1"/>
                                    <w:i w:val="0"/>
                                    <w:smallCaps w:val="0"/>
                                    <w:strike w:val="0"/>
                                    <w:color w:val="000000"/>
                                    <w:sz w:val="28"/>
                                    <w:vertAlign w:val="baseline"/>
                                  </w:rPr>
                                  <w:t xml:space="preserve">Credit Management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ustria" w:cs="Lustria" w:eastAsia="Lustria" w:hAnsi="Lustria"/>
                                    <w:b w:val="1"/>
                                    <w:i w:val="0"/>
                                    <w:smallCaps w:val="0"/>
                                    <w:strike w:val="0"/>
                                    <w:color w:val="000000"/>
                                    <w:sz w:val="28"/>
                                    <w:vertAlign w:val="baseline"/>
                                  </w:rPr>
                                </w:r>
                                <w:r w:rsidDel="00000000" w:rsidR="00000000" w:rsidRPr="00000000">
                                  <w:rPr>
                                    <w:rFonts w:ascii="Lustria" w:cs="Lustria" w:eastAsia="Lustria" w:hAnsi="Lustria"/>
                                    <w:b w:val="1"/>
                                    <w:i w:val="0"/>
                                    <w:smallCaps w:val="0"/>
                                    <w:strike w:val="0"/>
                                    <w:color w:val="000000"/>
                                    <w:sz w:val="24"/>
                                    <w:vertAlign w:val="baseline"/>
                                  </w:rPr>
                                  <w:t xml:space="preserve">COOP-Year-Policy-002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1130300</wp:posOffset>
                    </wp:positionH>
                    <wp:positionV relativeFrom="paragraph">
                      <wp:posOffset>-1028699</wp:posOffset>
                    </wp:positionV>
                    <wp:extent cx="2241550" cy="952500"/>
                    <wp:effectExtent b="0" l="0" r="0" t="0"/>
                    <wp:wrapNone/>
                    <wp:docPr id="8"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2241550" cy="952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1244600</wp:posOffset>
                    </wp:positionH>
                    <wp:positionV relativeFrom="paragraph">
                      <wp:posOffset>-507999</wp:posOffset>
                    </wp:positionV>
                    <wp:extent cx="1704975" cy="295275"/>
                    <wp:effectExtent b="0" l="0" r="0" t="0"/>
                    <wp:wrapNone/>
                    <wp:docPr id="9" name=""/>
                    <a:graphic>
                      <a:graphicData uri="http://schemas.microsoft.com/office/word/2010/wordprocessingShape">
                        <wps:wsp>
                          <wps:cNvSpPr/>
                          <wps:cNvPr id="4" name="Shape 4"/>
                          <wps:spPr>
                            <a:xfrm>
                              <a:off x="4503038" y="3641888"/>
                              <a:ext cx="1685925" cy="2762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Page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PAGE  \* Arabic  \* MERGEFORMAT 1</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of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NUMPAGES  \* Arabic  \* MERGEFORMAT 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1244600</wp:posOffset>
                    </wp:positionH>
                    <wp:positionV relativeFrom="paragraph">
                      <wp:posOffset>-507999</wp:posOffset>
                    </wp:positionV>
                    <wp:extent cx="1704975" cy="295275"/>
                    <wp:effectExtent b="0" l="0" r="0" t="0"/>
                    <wp:wrapNone/>
                    <wp:docPr id="9" name="image5.png"/>
                    <a:graphic>
                      <a:graphicData uri="http://schemas.openxmlformats.org/drawingml/2006/picture">
                        <pic:pic>
                          <pic:nvPicPr>
                            <pic:cNvPr id="0" name="image5.png"/>
                            <pic:cNvPicPr preferRelativeResize="0"/>
                          </pic:nvPicPr>
                          <pic:blipFill>
                            <a:blip r:embed="rId4"/>
                            <a:srcRect/>
                            <a:stretch>
                              <a:fillRect/>
                            </a:stretch>
                          </pic:blipFill>
                          <pic:spPr>
                            <a:xfrm>
                              <a:off x="0" y="0"/>
                              <a:ext cx="1704975" cy="295275"/>
                            </a:xfrm>
                            <a:prstGeom prst="rect"/>
                            <a:ln/>
                          </pic:spPr>
                        </pic:pic>
                      </a:graphicData>
                    </a:graphic>
                  </wp:anchor>
                </w:drawing>
              </mc:Fallback>
            </mc:AlternateContent>
          </w:r>
        </w:p>
      </w:tc>
    </w:tr>
    <w:tr>
      <w:trPr>
        <w:cantSplit w:val="0"/>
        <w:tblHeader w:val="0"/>
      </w:trPr>
      <w:tc>
        <w:tcPr/>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color w:val="000000"/>
              <w:rtl w:val="0"/>
            </w:rPr>
            <w:t xml:space="preserve">Issued by:</w:t>
          </w:r>
        </w:p>
      </w:tc>
      <w:tc>
        <w:tcPr/>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color w:val="000000"/>
              <w:rtl w:val="0"/>
            </w:rPr>
            <w:t xml:space="preserve">Revised Date:</w:t>
          </w:r>
        </w:p>
      </w:tc>
    </w:tr>
    <w:tr>
      <w:trPr>
        <w:cantSplit w:val="0"/>
        <w:tblHeader w:val="0"/>
      </w:trPr>
      <w:tc>
        <w:tcPr/>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color w:val="000000"/>
              <w:rtl w:val="0"/>
            </w:rPr>
            <w:t xml:space="preserve">Approved by: </w:t>
          </w:r>
        </w:p>
      </w:tc>
      <w:tc>
        <w:tcPr/>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color w:val="000000"/>
              <w:rtl w:val="0"/>
            </w:rPr>
            <w:t xml:space="preserve">Last Board Review Date:</w:t>
          </w:r>
        </w:p>
      </w:tc>
    </w:tr>
  </w:tbl>
  <w:p w:rsidR="00000000" w:rsidDel="00000000" w:rsidP="00000000" w:rsidRDefault="00000000" w:rsidRPr="00000000" w14:paraId="00000093">
    <w:pPr>
      <w:pBdr>
        <w:top w:space="0" w:sz="0" w:val="nil"/>
        <w:left w:space="0" w:sz="0" w:val="nil"/>
        <w:bottom w:color="000000" w:space="1" w:sz="12" w:val="single"/>
        <w:right w:space="0" w:sz="0" w:val="nil"/>
        <w:between w:space="0" w:sz="0" w:val="nil"/>
      </w:pBdr>
      <w:tabs>
        <w:tab w:val="center" w:leader="none" w:pos="4680"/>
        <w:tab w:val="right" w:leader="none" w:pos="9360"/>
        <w:tab w:val="right" w:leader="none" w:pos="10170"/>
      </w:tabs>
      <w:ind w:left="-810" w:right="-810" w:firstLine="0"/>
      <w:rPr>
        <w:color w:val="000000"/>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b w:val="0"/>
      </w:rPr>
    </w:lvl>
    <w:lvl w:ilvl="2">
      <w:start w:val="1"/>
      <w:numFmt w:val="decimal"/>
      <w:lvlText w:val="%1.%2.%3."/>
      <w:lvlJc w:val="left"/>
      <w:pPr>
        <w:ind w:left="1224" w:hanging="504"/>
      </w:pPr>
      <w:rPr>
        <w:b w:val="0"/>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rPr>
      <w:b w:val="1"/>
    </w:rPr>
  </w:style>
  <w:style w:type="paragraph" w:styleId="Heading5">
    <w:name w:val="heading 5"/>
    <w:basedOn w:val="Normal"/>
    <w:next w:val="Normal"/>
    <w:pPr>
      <w:keepNext w:val="1"/>
      <w:keepLines w:val="1"/>
      <w:spacing w:before="40" w:line="259" w:lineRule="auto"/>
    </w:pPr>
    <w:rPr>
      <w:rFonts w:ascii="Calibri" w:cs="Calibri" w:eastAsia="Calibri" w:hAnsi="Calibri"/>
      <w:color w:val="2e74b5"/>
      <w:sz w:val="20"/>
      <w:szCs w:val="20"/>
    </w:rPr>
  </w:style>
  <w:style w:type="paragraph" w:styleId="Heading6">
    <w:name w:val="heading 6"/>
    <w:basedOn w:val="Normal"/>
    <w:next w:val="Normal"/>
    <w:pPr>
      <w:keepNext w:val="1"/>
      <w:tabs>
        <w:tab w:val="left" w:leader="none" w:pos="576"/>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2320"/>
        <w:tab w:val="left" w:leader="none" w:pos="23040"/>
        <w:tab w:val="left" w:leader="none" w:pos="23760"/>
        <w:tab w:val="left" w:leader="none" w:pos="24480"/>
        <w:tab w:val="left" w:leader="none" w:pos="25200"/>
        <w:tab w:val="left" w:leader="none" w:pos="25920"/>
        <w:tab w:val="left" w:leader="none" w:pos="26640"/>
      </w:tabs>
      <w:ind w:left="578"/>
    </w:pPr>
    <w:rPr>
      <w:rFonts w:ascii="Arial" w:cs="Arial" w:eastAsia="Arial" w:hAnsi="Arial"/>
      <w:b w:val="1"/>
    </w:rPr>
  </w:style>
  <w:style w:type="paragraph" w:styleId="Title">
    <w:name w:val="Title"/>
    <w:basedOn w:val="Normal"/>
    <w:next w:val="Normal"/>
    <w:pPr>
      <w:jc w:val="center"/>
    </w:pPr>
    <w:rPr>
      <w:b w:val="1"/>
    </w:rPr>
  </w:style>
  <w:style w:type="paragraph" w:styleId="Normal" w:default="1">
    <w:name w:val="Normal"/>
    <w:qFormat w:val="1"/>
  </w:style>
  <w:style w:type="paragraph" w:styleId="Heading1">
    <w:name w:val="heading 1"/>
    <w:basedOn w:val="Normal"/>
    <w:next w:val="Normal"/>
    <w:uiPriority w:val="9"/>
    <w:qFormat w:val="1"/>
    <w:pPr>
      <w:keepNext w:val="1"/>
      <w:keepLines w:val="1"/>
      <w:spacing w:before="480"/>
      <w:outlineLvl w:val="0"/>
    </w:pPr>
    <w:rPr>
      <w:rFonts w:ascii="Cambria" w:cs="Cambria" w:eastAsia="Cambria" w:hAnsi="Cambria"/>
      <w:b w:val="1"/>
      <w:color w:val="366091"/>
      <w:sz w:val="28"/>
      <w:szCs w:val="28"/>
    </w:rPr>
  </w:style>
  <w:style w:type="paragraph" w:styleId="Heading2">
    <w:name w:val="heading 2"/>
    <w:basedOn w:val="Normal"/>
    <w:next w:val="Normal"/>
    <w:uiPriority w:val="9"/>
    <w:semiHidden w:val="1"/>
    <w:unhideWhenUsed w:val="1"/>
    <w:qFormat w:val="1"/>
    <w:pPr>
      <w:keepNext w:val="1"/>
      <w:keepLines w:val="1"/>
      <w:spacing w:before="200"/>
      <w:outlineLvl w:val="1"/>
    </w:pPr>
    <w:rPr>
      <w:rFonts w:ascii="Cambria" w:cs="Cambria" w:eastAsia="Cambria" w:hAnsi="Cambria"/>
      <w:b w:val="1"/>
      <w:color w:val="4f81bd"/>
      <w:sz w:val="26"/>
      <w:szCs w:val="2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outlineLvl w:val="3"/>
    </w:pPr>
    <w:rPr>
      <w:b w:val="1"/>
    </w:rPr>
  </w:style>
  <w:style w:type="paragraph" w:styleId="Heading5">
    <w:name w:val="heading 5"/>
    <w:basedOn w:val="Normal"/>
    <w:next w:val="Normal"/>
    <w:uiPriority w:val="9"/>
    <w:semiHidden w:val="1"/>
    <w:unhideWhenUsed w:val="1"/>
    <w:qFormat w:val="1"/>
    <w:pPr>
      <w:keepNext w:val="1"/>
      <w:keepLines w:val="1"/>
      <w:spacing w:before="40" w:line="259" w:lineRule="auto"/>
      <w:outlineLvl w:val="4"/>
    </w:pPr>
    <w:rPr>
      <w:rFonts w:ascii="Calibri" w:cs="Calibri" w:eastAsia="Calibri" w:hAnsi="Calibri"/>
      <w:color w:val="2e74b5"/>
      <w:sz w:val="20"/>
      <w:szCs w:val="20"/>
    </w:rPr>
  </w:style>
  <w:style w:type="paragraph" w:styleId="Heading6">
    <w:name w:val="heading 6"/>
    <w:basedOn w:val="Normal"/>
    <w:next w:val="Normal"/>
    <w:uiPriority w:val="9"/>
    <w:semiHidden w:val="1"/>
    <w:unhideWhenUsed w:val="1"/>
    <w:qFormat w:val="1"/>
    <w:pPr>
      <w:keepNext w:val="1"/>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578"/>
      <w:outlineLvl w:val="5"/>
    </w:pPr>
    <w:rPr>
      <w:rFonts w:ascii="Arial" w:cs="Arial" w:eastAsia="Arial" w:hAnsi="Arial"/>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jc w:val="center"/>
    </w:pPr>
    <w:rPr>
      <w:b w:val="1"/>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3" w:customStyle="1">
    <w:name w:val="3"/>
    <w:basedOn w:val="TableNormal"/>
    <w:tblPr>
      <w:tblStyleRowBandSize w:val="1"/>
      <w:tblStyleColBandSize w:val="1"/>
    </w:tblPr>
  </w:style>
  <w:style w:type="table" w:styleId="2" w:customStyle="1">
    <w:name w:val="2"/>
    <w:basedOn w:val="TableNormal"/>
    <w:tblPr>
      <w:tblStyleRowBandSize w:val="1"/>
      <w:tblStyleColBandSize w:val="1"/>
      <w:tblCellMar>
        <w:left w:w="115.0" w:type="dxa"/>
        <w:right w:w="115.0" w:type="dxa"/>
      </w:tblCellMar>
    </w:tblPr>
  </w:style>
  <w:style w:type="table" w:styleId="1" w:customStyle="1">
    <w:name w:val="1"/>
    <w:basedOn w:val="TableNormal"/>
    <w:tblPr>
      <w:tblStyleRowBandSize w:val="1"/>
      <w:tblStyleColBandSize w:val="1"/>
      <w:tblCellMar>
        <w:left w:w="115.0" w:type="dxa"/>
        <w:right w:w="115.0" w:type="dxa"/>
      </w:tblCellMar>
    </w:tblPr>
  </w:style>
  <w:style w:type="paragraph" w:styleId="Header">
    <w:name w:val="header"/>
    <w:basedOn w:val="Normal"/>
    <w:link w:val="HeaderChar"/>
    <w:uiPriority w:val="99"/>
    <w:unhideWhenUsed w:val="1"/>
    <w:rsid w:val="007850B6"/>
    <w:pPr>
      <w:tabs>
        <w:tab w:val="center" w:pos="4680"/>
        <w:tab w:val="right" w:pos="9360"/>
      </w:tabs>
    </w:pPr>
  </w:style>
  <w:style w:type="character" w:styleId="HeaderChar" w:customStyle="1">
    <w:name w:val="Header Char"/>
    <w:basedOn w:val="DefaultParagraphFont"/>
    <w:link w:val="Header"/>
    <w:uiPriority w:val="99"/>
    <w:rsid w:val="007850B6"/>
  </w:style>
  <w:style w:type="paragraph" w:styleId="Footer">
    <w:name w:val="footer"/>
    <w:basedOn w:val="Normal"/>
    <w:link w:val="FooterChar"/>
    <w:uiPriority w:val="99"/>
    <w:unhideWhenUsed w:val="1"/>
    <w:rsid w:val="007850B6"/>
    <w:pPr>
      <w:tabs>
        <w:tab w:val="center" w:pos="4680"/>
        <w:tab w:val="right" w:pos="9360"/>
      </w:tabs>
    </w:pPr>
  </w:style>
  <w:style w:type="character" w:styleId="FooterChar" w:customStyle="1">
    <w:name w:val="Footer Char"/>
    <w:basedOn w:val="DefaultParagraphFont"/>
    <w:link w:val="Footer"/>
    <w:uiPriority w:val="99"/>
    <w:rsid w:val="007850B6"/>
  </w:style>
  <w:style w:type="paragraph" w:styleId="ListParagraph">
    <w:name w:val="List Paragraph"/>
    <w:basedOn w:val="Normal"/>
    <w:uiPriority w:val="34"/>
    <w:qFormat w:val="1"/>
    <w:rsid w:val="007850B6"/>
    <w:pPr>
      <w:ind w:left="720"/>
      <w:contextualSpacing w:val="1"/>
    </w:pPr>
  </w:style>
  <w:style w:type="paragraph" w:styleId="BalloonText">
    <w:name w:val="Balloon Text"/>
    <w:basedOn w:val="Normal"/>
    <w:link w:val="BalloonTextChar"/>
    <w:uiPriority w:val="99"/>
    <w:semiHidden w:val="1"/>
    <w:unhideWhenUsed w:val="1"/>
    <w:rsid w:val="00760E02"/>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760E02"/>
    <w:rPr>
      <w:rFonts w:ascii="Segoe UI" w:cs="Segoe UI" w:hAnsi="Segoe UI"/>
      <w:sz w:val="18"/>
      <w:szCs w:val="18"/>
    </w:rPr>
  </w:style>
  <w:style w:type="paragraph" w:styleId="NoSpacing">
    <w:name w:val="No Spacing"/>
    <w:uiPriority w:val="1"/>
    <w:qFormat w:val="1"/>
    <w:rsid w:val="00265D41"/>
  </w:style>
  <w:style w:type="table" w:styleId="TableGrid">
    <w:name w:val="Table Grid"/>
    <w:basedOn w:val="TableNormal"/>
    <w:uiPriority w:val="39"/>
    <w:rsid w:val="00FC781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png"/><Relationship Id="rId3" Type="http://schemas.openxmlformats.org/officeDocument/2006/relationships/image" Target="media/image4.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BaaY4F/5rosVlrb73gRhzBlxSg==">CgMxLjAyCGguZ2pkZ3hzOAByITFxRXQ2YzVVcHo0T0dCT0ZJd09GSWs5bDRFTjg3YWVQcg==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2024-08-13T01:56:00Z</dcterms:created>
  <dc:creator>User</dc:creator>
</cp:coreProperties>
</file>