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6FEB"/>
          <w:sz w:val="36"/>
        </w:rPr>
        <w:t>Guía de Instalación y Configuración — DWH RA</w:t>
      </w:r>
    </w:p>
    <w:p>
      <w:pPr>
        <w:spacing w:after="80"/>
      </w:pPr>
      <w:r/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08 de mayo de 2026</w:t>
      </w:r>
    </w:p>
    <w:p>
      <w:pPr>
        <w:pStyle w:val="Heading2"/>
      </w:pPr>
      <w:r>
        <w:rPr>
          <w:b/>
          <w:sz w:val="28"/>
        </w:rPr>
        <w:t>1. Prerrequisitos de Infraestructura</w:t>
      </w:r>
    </w:p>
    <w:p>
      <w:pPr>
        <w:pStyle w:val="ListBullet"/>
        <w:spacing w:after="40"/>
      </w:pPr>
      <w:r/>
      <w:r>
        <w:rPr>
          <w:b/>
        </w:rPr>
        <w:t>Motor de Base de Datos:</w:t>
      </w:r>
      <w:r>
        <w:t xml:space="preserve"> PostgreSQL 13 o superior.</w:t>
      </w:r>
    </w:p>
    <w:p>
      <w:pPr>
        <w:pStyle w:val="ListBullet"/>
        <w:spacing w:after="40"/>
      </w:pPr>
      <w:r/>
      <w:r>
        <w:rPr>
          <w:b/>
        </w:rPr>
        <w:t>Sistema Operativo:</w:t>
      </w:r>
      <w:r>
        <w:t xml:space="preserve"> Windows Server 2019+ o Distribución Linux compatible.</w:t>
      </w:r>
    </w:p>
    <w:p>
      <w:pPr>
        <w:pStyle w:val="ListBullet"/>
        <w:spacing w:after="40"/>
      </w:pPr>
      <w:r/>
      <w:r>
        <w:rPr>
          <w:b/>
        </w:rPr>
        <w:t>Python:</w:t>
      </w:r>
      <w:r>
        <w:t xml:space="preserve"> Versión 3.9+ (Para scripts de ingesta y utilitarios).</w:t>
      </w:r>
    </w:p>
    <w:p>
      <w:pPr>
        <w:pStyle w:val="ListBullet"/>
        <w:spacing w:after="40"/>
      </w:pPr>
      <w:r/>
      <w:r>
        <w:rPr>
          <w:b/>
        </w:rPr>
        <w:t>Acceso de Red:</w:t>
      </w:r>
      <w:r>
        <w:t xml:space="preserve"> Conectividad al puerto 5432 del servidor origen SUIA/JBPM.</w:t>
      </w:r>
    </w:p>
    <w:p>
      <w:pPr>
        <w:pStyle w:val="Heading2"/>
      </w:pPr>
      <w:r>
        <w:rPr>
          <w:b/>
          <w:sz w:val="28"/>
        </w:rPr>
        <w:t>2. Preparación de la Base de Datos</w:t>
      </w:r>
    </w:p>
    <w:p>
      <w:pPr>
        <w:spacing w:after="80"/>
      </w:pPr>
      <w:r>
        <w:t xml:space="preserve">1.  </w:t>
      </w:r>
      <w:r>
        <w:rPr>
          <w:b/>
        </w:rPr>
        <w:t>Crear el Data Warehouse: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CREATE DATABASE dw_reg_v1;</w:t>
            </w:r>
          </w:p>
        </w:tc>
      </w:tr>
    </w:tbl>
    <w:p/>
    <w:p>
      <w:pPr>
        <w:spacing w:after="80"/>
      </w:pPr>
      <w:r>
        <w:t xml:space="preserve">2.  </w:t>
      </w:r>
      <w:r>
        <w:rPr>
          <w:b/>
        </w:rPr>
        <w:t>Configurar Esquemas: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\c dw_reg_v1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CREATE SCHEMA stg;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CREATE SCHEMA dw;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CREATE SCHEMA dm;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 xml:space="preserve">    CREATE SCHEMA ctl;</w:t>
            </w:r>
          </w:p>
        </w:tc>
      </w:tr>
    </w:tbl>
    <w:p/>
    <w:p>
      <w:pPr>
        <w:pStyle w:val="Heading2"/>
      </w:pPr>
      <w:r>
        <w:rPr>
          <w:b/>
          <w:sz w:val="28"/>
        </w:rPr>
        <w:t>3. Despliegue Estructural (DDL)</w:t>
      </w:r>
    </w:p>
    <w:p>
      <w:pPr>
        <w:spacing w:after="80"/>
      </w:pPr>
      <w:r>
        <w:t>El modelo completo se inicializa usando los scripts consolidados.</w:t>
      </w:r>
    </w:p>
    <w:p>
      <w:pPr>
        <w:spacing w:after="80"/>
      </w:pPr>
      <w:r>
        <w:t xml:space="preserve">Navegue al directorio </w:t>
      </w:r>
      <w:r>
        <w:rPr>
          <w:rFonts w:ascii="Courier New" w:hAnsi="Courier New"/>
          <w:color w:val="B51A1A"/>
          <w:sz w:val="19"/>
        </w:rPr>
        <w:t>D:\Datawrehouse_RA\</w:t>
      </w:r>
      <w:r>
        <w:t xml:space="preserve"> y ejecute usando </w:t>
      </w:r>
      <w:r>
        <w:rPr>
          <w:rFonts w:ascii="Courier New" w:hAnsi="Courier New"/>
          <w:color w:val="B51A1A"/>
          <w:sz w:val="19"/>
        </w:rPr>
        <w:t>psql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# Carga de DDL base y tablas maestras (v1)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psql -U admin -d dw_reg_v1 -f ddl_base.sql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# Despliegue de actualización jerárquica y bridge (v2)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psql -U admin -d dw_reg_v1 -f v2\ddl_dwh_v2.sql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# Inicialización de Funciones Analíticas y Pagos (v3)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psql -U admin -d dw_reg_v1 -f v3\etl_carga_datos_v3.sql</w:t>
            </w:r>
          </w:p>
        </w:tc>
      </w:tr>
    </w:tbl>
    <w:p/>
    <w:p>
      <w:pPr>
        <w:pStyle w:val="Heading2"/>
      </w:pPr>
      <w:r>
        <w:rPr>
          <w:b/>
          <w:sz w:val="28"/>
        </w:rPr>
        <w:t>4. Configuración del Entorno de Ejecución Python</w:t>
      </w:r>
    </w:p>
    <w:p>
      <w:pPr>
        <w:spacing w:after="80"/>
      </w:pPr>
      <w:r>
        <w:t>Todos los scripts de control y validación residen en el directorio principal y requieren un entorno virtual configurado.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cd D:\Datawrehouse_RA\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python -m venv .venv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# Activar el entorno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.venv\Scripts\activate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# Instalar dependencias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pip install -r requirements.txt</w:t>
            </w:r>
          </w:p>
        </w:tc>
      </w:tr>
    </w:tbl>
    <w:p/>
    <w:p>
      <w:pPr>
        <w:pStyle w:val="Heading2"/>
      </w:pPr>
      <w:r>
        <w:rPr>
          <w:b/>
          <w:sz w:val="28"/>
        </w:rPr>
        <w:t>5. Carga de Datos Inicial (Full Load)</w:t>
      </w:r>
    </w:p>
    <w:p>
      <w:pPr>
        <w:spacing w:after="80"/>
      </w:pPr>
      <w:r>
        <w:t>La primera ejecución debe realizarse manualmente para poblar el histórico completo:</w:t>
      </w:r>
    </w:p>
    <w:p>
      <w:pPr>
        <w:spacing w:after="80"/>
      </w:pPr>
      <w:r>
        <w:t xml:space="preserve">1. Modificar el archivo </w:t>
      </w:r>
      <w:r>
        <w:rPr>
          <w:rFonts w:ascii="Courier New" w:hAnsi="Courier New"/>
          <w:color w:val="B51A1A"/>
          <w:sz w:val="19"/>
        </w:rPr>
        <w:t>.env</w:t>
      </w:r>
      <w:r>
        <w:t xml:space="preserve"> o las variables de entorno del sistema con las credenciales origen/destino (</w:t>
      </w:r>
      <w:r>
        <w:rPr>
          <w:rFonts w:ascii="Courier New" w:hAnsi="Courier New"/>
          <w:color w:val="B51A1A"/>
          <w:sz w:val="19"/>
        </w:rPr>
        <w:t>DB_HOST</w:t>
      </w:r>
      <w:r>
        <w:t xml:space="preserve">, </w:t>
      </w:r>
      <w:r>
        <w:rPr>
          <w:rFonts w:ascii="Courier New" w:hAnsi="Courier New"/>
          <w:color w:val="B51A1A"/>
          <w:sz w:val="19"/>
        </w:rPr>
        <w:t>DB_USER</w:t>
      </w:r>
      <w:r>
        <w:t xml:space="preserve">, </w:t>
      </w:r>
      <w:r>
        <w:rPr>
          <w:rFonts w:ascii="Courier New" w:hAnsi="Courier New"/>
          <w:color w:val="B51A1A"/>
          <w:sz w:val="19"/>
        </w:rPr>
        <w:t>DB_PASS</w:t>
      </w:r>
      <w:r>
        <w:t>).</w:t>
      </w:r>
    </w:p>
    <w:p>
      <w:pPr>
        <w:spacing w:after="80"/>
      </w:pPr>
      <w:r>
        <w:t>2. Ejecutar la ingesta de las dimensiones de referencia (Archivos CSV locales como INEC, Cantones).</w:t>
      </w:r>
    </w:p>
    <w:p>
      <w:pPr>
        <w:spacing w:after="80"/>
      </w:pPr>
      <w:r>
        <w:t>3. Lanzar el proceso maestro inicial: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sz w:val="17"/>
              </w:rPr>
              <w:t>D:\Datawrehouse_RA\jobs\job_diario_dwh.bat</w:t>
            </w:r>
          </w:p>
        </w:tc>
      </w:tr>
    </w:tbl>
    <w:p/>
    <w:p>
      <w:pPr>
        <w:spacing w:after="80"/>
      </w:pPr>
      <w:r>
        <w:t xml:space="preserve">4. Validar que la tabla </w:t>
      </w:r>
      <w:r>
        <w:rPr>
          <w:rFonts w:ascii="Courier New" w:hAnsi="Courier New"/>
          <w:color w:val="B51A1A"/>
          <w:sz w:val="19"/>
        </w:rPr>
        <w:t>dw.fact_proyecto_geografia</w:t>
      </w:r>
      <w:r>
        <w:t xml:space="preserve"> contenga aproximadamente 337,986 registros como métrica de éxito.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