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6FEB"/>
          <w:sz w:val="36"/>
        </w:rPr>
        <w:t>Manual de Operación y Mantenimiento (TI) — DWH RA</w:t>
      </w:r>
    </w:p>
    <w:p>
      <w:pPr>
        <w:spacing w:after="80"/>
      </w:pPr>
      <w:r/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08 de mayo de 2026</w:t>
      </w:r>
    </w:p>
    <w:p>
      <w:pPr>
        <w:pStyle w:val="Heading2"/>
      </w:pPr>
      <w:r>
        <w:rPr>
          <w:b/>
          <w:sz w:val="28"/>
        </w:rPr>
        <w:t>1. Operación del Pipeline ETL</w:t>
      </w:r>
    </w:p>
    <w:p>
      <w:pPr>
        <w:spacing w:after="80"/>
      </w:pPr>
      <w:r>
        <w:t>La carga de datos del DWH RA está orquestada mediante scripts Batch y SQL que deben ejecutarse bajo un orden estricto.</w:t>
      </w:r>
    </w:p>
    <w:p>
      <w:pPr>
        <w:pStyle w:val="Heading3"/>
      </w:pPr>
      <w:r>
        <w:rPr>
          <w:b/>
          <w:color w:val="1F6FEB"/>
          <w:sz w:val="24"/>
        </w:rPr>
        <w:t>Ejecución Diaria Automatizada</w:t>
      </w:r>
    </w:p>
    <w:p>
      <w:pPr>
        <w:spacing w:after="80"/>
      </w:pPr>
      <w:r>
        <w:t xml:space="preserve">El proceso principal es </w:t>
      </w:r>
      <w:r>
        <w:rPr>
          <w:rFonts w:ascii="Courier New" w:hAnsi="Courier New"/>
          <w:color w:val="B51A1A"/>
          <w:sz w:val="19"/>
        </w:rPr>
        <w:t>job_diario_dwh.bat</w:t>
      </w:r>
      <w:r>
        <w:t xml:space="preserve">. Este script debe estar programado en el </w:t>
      </w:r>
      <w:r>
        <w:rPr>
          <w:b/>
        </w:rPr>
        <w:t>Programador de Tareas de Windows</w:t>
      </w:r>
      <w:r>
        <w:t xml:space="preserve"> del servidor de integración, configurado para ejecutarse diariamente a las 02:00 AM.</w:t>
      </w:r>
    </w:p>
    <w:p>
      <w:pPr>
        <w:spacing w:after="80"/>
      </w:pPr>
      <w:r/>
      <w:r>
        <w:rPr>
          <w:b/>
        </w:rPr>
        <w:t>Flujo interno del job:</w:t>
      </w:r>
      <w:r/>
    </w:p>
    <w:p>
      <w:pPr>
        <w:spacing w:after="80"/>
      </w:pPr>
      <w:r>
        <w:t xml:space="preserve">1.  </w:t>
      </w:r>
      <w:r>
        <w:rPr>
          <w:b/>
        </w:rPr>
        <w:t>Extracciones v1:</w:t>
      </w:r>
      <w:r>
        <w:t xml:space="preserve"> Carga de datos base hacia la capa </w:t>
      </w:r>
      <w:r>
        <w:rPr>
          <w:rFonts w:ascii="Courier New" w:hAnsi="Courier New"/>
          <w:color w:val="B51A1A"/>
          <w:sz w:val="19"/>
        </w:rPr>
        <w:t>stg</w:t>
      </w:r>
      <w:r>
        <w:t>.</w:t>
      </w:r>
    </w:p>
    <w:p>
      <w:pPr>
        <w:spacing w:after="80"/>
      </w:pPr>
      <w:r>
        <w:t xml:space="preserve">2.  </w:t>
      </w:r>
      <w:r>
        <w:rPr>
          <w:b/>
        </w:rPr>
        <w:t>Bridge v2:</w:t>
      </w:r>
      <w:r>
        <w:t xml:space="preserve"> Ejecución de </w:t>
      </w:r>
      <w:r>
        <w:rPr>
          <w:rFonts w:ascii="Courier New" w:hAnsi="Courier New"/>
          <w:color w:val="B51A1A"/>
          <w:sz w:val="19"/>
        </w:rPr>
        <w:t>ddl_dwh_v2.sql</w:t>
      </w:r>
      <w:r>
        <w:t xml:space="preserve"> para poblar </w:t>
      </w:r>
      <w:r>
        <w:rPr>
          <w:rFonts w:ascii="Courier New" w:hAnsi="Courier New"/>
          <w:color w:val="B51A1A"/>
          <w:sz w:val="19"/>
        </w:rPr>
        <w:t>dim_geografia</w:t>
      </w:r>
      <w:r>
        <w:t xml:space="preserve"> jerárquica y </w:t>
      </w:r>
      <w:r>
        <w:rPr>
          <w:rFonts w:ascii="Courier New" w:hAnsi="Courier New"/>
          <w:color w:val="B51A1A"/>
          <w:sz w:val="19"/>
        </w:rPr>
        <w:t>fact_proyecto_geografia</w:t>
      </w:r>
      <w:r>
        <w:t>.</w:t>
      </w:r>
    </w:p>
    <w:p>
      <w:pPr>
        <w:spacing w:after="80"/>
      </w:pPr>
      <w:r>
        <w:t xml:space="preserve">3.  </w:t>
      </w:r>
      <w:r>
        <w:rPr>
          <w:b/>
        </w:rPr>
        <w:t>Conciliación Global v3:</w:t>
      </w:r>
      <w:r>
        <w:t xml:space="preserve"> Ejecución de </w:t>
      </w:r>
      <w:r>
        <w:rPr>
          <w:rFonts w:ascii="Courier New" w:hAnsi="Courier New"/>
          <w:color w:val="B51A1A"/>
          <w:sz w:val="19"/>
        </w:rPr>
        <w:t>etl_carga_datos_v3.sql</w:t>
      </w:r>
      <w:r>
        <w:t xml:space="preserve"> para el cálculo histórico de costos de pagos.</w:t>
      </w:r>
    </w:p>
    <w:p>
      <w:pPr>
        <w:pStyle w:val="Heading3"/>
      </w:pPr>
      <w:r>
        <w:rPr>
          <w:b/>
          <w:color w:val="1F6FEB"/>
          <w:sz w:val="24"/>
        </w:rPr>
        <w:t>Ejecución Manual (On-Demand)</w:t>
      </w:r>
    </w:p>
    <w:p>
      <w:pPr>
        <w:spacing w:after="80"/>
      </w:pPr>
      <w:r>
        <w:t>En caso de requerir una carga fuera de horario o tras una caída del sistema:</w:t>
      </w:r>
    </w:p>
    <w:p>
      <w:pPr>
        <w:spacing w:after="80"/>
      </w:pPr>
      <w:r>
        <w:t>1. Abrir CMD como Administrador.</w:t>
      </w:r>
    </w:p>
    <w:p>
      <w:pPr>
        <w:spacing w:after="80"/>
      </w:pPr>
      <w:r>
        <w:t xml:space="preserve">2. Navegar a: </w:t>
      </w:r>
      <w:r>
        <w:rPr>
          <w:rFonts w:ascii="Courier New" w:hAnsi="Courier New"/>
          <w:color w:val="B51A1A"/>
          <w:sz w:val="19"/>
        </w:rPr>
        <w:t>D:\Datawrehouse_RA\jobs\</w:t>
      </w:r>
      <w:r/>
    </w:p>
    <w:p>
      <w:pPr>
        <w:spacing w:after="80"/>
      </w:pPr>
      <w:r>
        <w:t xml:space="preserve">3. Ejecutar: </w:t>
      </w:r>
      <w:r>
        <w:rPr>
          <w:rFonts w:ascii="Courier New" w:hAnsi="Courier New"/>
          <w:color w:val="B51A1A"/>
          <w:sz w:val="19"/>
        </w:rPr>
        <w:t>job_diario_dwh.bat</w:t>
      </w:r>
      <w:r/>
    </w:p>
    <w:p>
      <w:pPr>
        <w:spacing w:after="80"/>
      </w:pPr>
      <w:r>
        <w:t xml:space="preserve">4. Revisar los logs generados en </w:t>
      </w:r>
      <w:r>
        <w:rPr>
          <w:rFonts w:ascii="Courier New" w:hAnsi="Courier New"/>
          <w:color w:val="B51A1A"/>
          <w:sz w:val="19"/>
        </w:rPr>
        <w:t>D:\Datawrehouse_RA\logs\</w:t>
      </w:r>
      <w:r>
        <w:t xml:space="preserve"> buscando la palabra </w:t>
      </w:r>
      <w:r>
        <w:rPr>
          <w:rFonts w:ascii="Courier New" w:hAnsi="Courier New"/>
          <w:color w:val="B51A1A"/>
          <w:sz w:val="19"/>
        </w:rPr>
        <w:t>ERROR</w:t>
      </w:r>
      <w:r>
        <w:t>.</w:t>
      </w:r>
    </w:p>
    <w:p>
      <w:pPr>
        <w:pStyle w:val="Heading2"/>
      </w:pPr>
      <w:r>
        <w:rPr>
          <w:b/>
          <w:sz w:val="28"/>
        </w:rPr>
        <w:t>2. Resolución de Problemas (Troubleshooting)</w:t>
      </w:r>
    </w:p>
    <w:p>
      <w:pPr>
        <w:pStyle w:val="Heading3"/>
      </w:pPr>
      <w:r>
        <w:rPr>
          <w:b/>
          <w:color w:val="1F6FEB"/>
          <w:sz w:val="24"/>
        </w:rPr>
        <w:t>Diferencias en Montos de Pago</w:t>
      </w:r>
    </w:p>
    <w:p>
      <w:pPr>
        <w:spacing w:after="80"/>
      </w:pPr>
      <w:r>
        <w:t>Si los usuarios reportan que un proyecto hereda un valor de depósito global duplicado:</w:t>
      </w:r>
    </w:p>
    <w:p>
      <w:pPr>
        <w:spacing w:after="80"/>
      </w:pPr>
      <w:r>
        <w:t>1. Verificar si el script v3 corrió correctamente.</w:t>
      </w:r>
    </w:p>
    <w:p>
      <w:pPr>
        <w:spacing w:after="80"/>
      </w:pPr>
      <w:r>
        <w:t xml:space="preserve">2. Ejecutar manualmente el SP </w:t>
      </w:r>
      <w:r>
        <w:rPr>
          <w:rFonts w:ascii="Courier New" w:hAnsi="Courier New"/>
          <w:color w:val="B51A1A"/>
          <w:sz w:val="19"/>
        </w:rPr>
        <w:t>sp_calcular_secuencia_pagos</w:t>
      </w:r>
      <w:r>
        <w:t xml:space="preserve"> sobre el </w:t>
      </w:r>
      <w:r>
        <w:rPr>
          <w:rFonts w:ascii="Courier New" w:hAnsi="Courier New"/>
          <w:color w:val="B51A1A"/>
          <w:sz w:val="19"/>
        </w:rPr>
        <w:t>tramit_number</w:t>
      </w:r>
      <w:r>
        <w:t xml:space="preserve"> afectado.</w:t>
      </w:r>
    </w:p>
    <w:p>
      <w:pPr>
        <w:pStyle w:val="Heading3"/>
      </w:pPr>
      <w:r>
        <w:rPr>
          <w:b/>
          <w:color w:val="1F6FEB"/>
          <w:sz w:val="24"/>
        </w:rPr>
        <w:t>Deadlocks o Bloqueos en Base de Datos</w:t>
      </w:r>
    </w:p>
    <w:p>
      <w:pPr>
        <w:spacing w:after="80"/>
      </w:pPr>
      <w:r>
        <w:t xml:space="preserve">Si los scripts fallan por bloqueos durante la actualización de </w:t>
      </w:r>
      <w:r>
        <w:rPr>
          <w:rFonts w:ascii="Courier New" w:hAnsi="Courier New"/>
          <w:color w:val="B51A1A"/>
          <w:sz w:val="19"/>
        </w:rPr>
        <w:t>fact_pago</w:t>
      </w:r>
      <w:r>
        <w:t>:</w:t>
      </w:r>
    </w:p>
    <w:p>
      <w:pPr>
        <w:spacing w:after="80"/>
      </w:pPr>
      <w:r>
        <w:t xml:space="preserve">1. Ejecutar el script </w:t>
      </w:r>
      <w:r>
        <w:rPr>
          <w:rFonts w:ascii="Courier New" w:hAnsi="Courier New"/>
          <w:color w:val="B51A1A"/>
          <w:sz w:val="19"/>
        </w:rPr>
        <w:t>D:\Datawrehouse_RA\find_pg_blockers.py</w:t>
      </w:r>
      <w:r>
        <w:t xml:space="preserve"> o revisar vistas </w:t>
      </w:r>
      <w:r>
        <w:rPr>
          <w:rFonts w:ascii="Courier New" w:hAnsi="Courier New"/>
          <w:color w:val="B51A1A"/>
          <w:sz w:val="19"/>
        </w:rPr>
        <w:t>pg_stat_activity</w:t>
      </w:r>
      <w:r>
        <w:t>.</w:t>
      </w:r>
    </w:p>
    <w:p>
      <w:pPr>
        <w:spacing w:after="80"/>
      </w:pPr>
      <w:r>
        <w:t>2. Matar (Kill) procesos huérfanos que estén bloqueando las tablas transaccionales.</w:t>
      </w:r>
    </w:p>
    <w:p>
      <w:pPr>
        <w:pStyle w:val="Heading2"/>
      </w:pPr>
      <w:r>
        <w:rPr>
          <w:b/>
          <w:sz w:val="28"/>
        </w:rPr>
        <w:t>3. Política de Respaldos (Backups)</w:t>
      </w:r>
    </w:p>
    <w:p>
      <w:pPr>
        <w:spacing w:after="80"/>
      </w:pPr>
      <w:r>
        <w:t xml:space="preserve">La base de datos analítica principal se denomina </w:t>
      </w:r>
      <w:r>
        <w:rPr>
          <w:rFonts w:ascii="Courier New" w:hAnsi="Courier New"/>
          <w:color w:val="B51A1A"/>
          <w:sz w:val="19"/>
        </w:rPr>
        <w:t>dw_reg_v1</w:t>
      </w:r>
      <w:r>
        <w:t>.</w:t>
      </w:r>
    </w:p>
    <w:p>
      <w:pPr>
        <w:pStyle w:val="ListBullet"/>
        <w:spacing w:after="40"/>
      </w:pPr>
      <w:r/>
      <w:r>
        <w:rPr>
          <w:b/>
        </w:rPr>
        <w:t>Frecuencia:</w:t>
      </w:r>
      <w:r>
        <w:t xml:space="preserve"> Diaria (Completa), retención de 7 días. Semanal (Histórica), retención de 3 meses.</w:t>
      </w:r>
    </w:p>
    <w:p>
      <w:pPr>
        <w:pStyle w:val="ListBullet"/>
        <w:spacing w:after="40"/>
      </w:pPr>
      <w:r/>
      <w:r>
        <w:rPr>
          <w:b/>
        </w:rPr>
        <w:t>Herramienta:</w:t>
      </w:r>
      <w:r>
        <w:t xml:space="preserve"> </w:t>
      </w:r>
      <w:r>
        <w:rPr>
          <w:rFonts w:ascii="Courier New" w:hAnsi="Courier New"/>
          <w:sz w:val="18"/>
        </w:rPr>
        <w:t>pg_dump</w:t>
      </w:r>
      <w:r>
        <w:t xml:space="preserve"> con formato comprimido (</w:t>
      </w:r>
      <w:r>
        <w:rPr>
          <w:rFonts w:ascii="Courier New" w:hAnsi="Courier New"/>
          <w:sz w:val="18"/>
        </w:rPr>
        <w:t>-Fc</w:t>
      </w:r>
      <w:r>
        <w:t>).</w:t>
      </w:r>
    </w:p>
    <w:p>
      <w:pPr>
        <w:pStyle w:val="ListBullet"/>
        <w:spacing w:after="40"/>
      </w:pPr>
      <w:r/>
      <w:r>
        <w:rPr>
          <w:b/>
        </w:rPr>
        <w:t>Ejecución:</w:t>
      </w:r>
      <w:r>
        <w:t xml:space="preserve"> Programar el script </w:t>
      </w:r>
      <w:r>
        <w:rPr>
          <w:rFonts w:ascii="Courier New" w:hAnsi="Courier New"/>
          <w:sz w:val="18"/>
        </w:rPr>
        <w:t>create_local_backups.py</w:t>
      </w:r>
      <w:r>
        <w:t xml:space="preserve"> para correr a las 01:00 AM (antes del ETL).</w:t>
      </w:r>
    </w:p>
    <w:p>
      <w:pPr>
        <w:pStyle w:val="ListBullet"/>
        <w:spacing w:after="40"/>
      </w:pPr>
      <w:r/>
      <w:r>
        <w:rPr>
          <w:b/>
        </w:rPr>
        <w:t>Almacenamiento:</w:t>
      </w:r>
      <w:r>
        <w:t xml:space="preserve"> Los archivos </w:t>
      </w:r>
      <w:r>
        <w:rPr>
          <w:rFonts w:ascii="Courier New" w:hAnsi="Courier New"/>
          <w:sz w:val="18"/>
        </w:rPr>
        <w:t>.dump</w:t>
      </w:r>
      <w:r>
        <w:t xml:space="preserve"> deben almacenarse en un volumen o SAN separado del disco operativo del servidor.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