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6FEB"/>
          <w:sz w:val="36"/>
        </w:rPr>
        <w:t>Data Warehouse Regularización Ambiental (RA) — Manual Técnico Integral</w:t>
      </w:r>
    </w:p>
    <w:p>
      <w:pPr>
        <w:spacing w:after="80"/>
      </w:pPr>
      <w:r/>
      <w:r>
        <w:rPr>
          <w:b/>
        </w:rPr>
        <w:t>Versión:</w:t>
      </w:r>
      <w:r>
        <w:t xml:space="preserve"> 3.0 | </w:t>
      </w:r>
      <w:r>
        <w:rPr>
          <w:b/>
        </w:rPr>
        <w:t>Fecha:</w:t>
      </w:r>
      <w:r>
        <w:t xml:space="preserve"> 08 de mayo de 2026</w:t>
      </w:r>
    </w:p>
    <w:p>
      <w:pPr>
        <w:pStyle w:val="Heading2"/>
      </w:pPr>
      <w:r>
        <w:rPr>
          <w:b/>
          <w:sz w:val="28"/>
        </w:rPr>
        <w:t>1. Resumen Ejecutivo</w:t>
      </w:r>
    </w:p>
    <w:p>
      <w:pPr>
        <w:spacing w:after="80"/>
      </w:pPr>
      <w:r>
        <w:t>El Data Warehouse de Regularización Ambiental (DWH RA) consolida la información transaccional de los sistemas SUIA (Sistema Único de Información Ambiental) enfocándose en proyectos, pagos, ubicaciones geográficas y procesos de regularización. La versión 3.0 implementa una arquitectura avanzada para relaciones geográficas recursivas (M:N) y cálculo diferencial de pagos históricos.</w:t>
      </w:r>
    </w:p>
    <w:p>
      <w:pPr>
        <w:pStyle w:val="Heading2"/>
      </w:pPr>
      <w:r>
        <w:rPr>
          <w:b/>
          <w:sz w:val="28"/>
        </w:rPr>
        <w:t>2. Arquitectura General</w:t>
      </w:r>
    </w:p>
    <w:p>
      <w:pPr>
        <w:spacing w:after="80"/>
      </w:pPr>
      <w:r>
        <w:t>El DWH RA sigue una arquitectura tradicional de tres capas desplegada sobre PostgreSQL:</w:t>
      </w:r>
    </w:p>
    <w:p>
      <w:pPr>
        <w:pStyle w:val="ListBullet"/>
        <w:spacing w:after="40"/>
      </w:pPr>
      <w:r/>
      <w:r>
        <w:rPr>
          <w:b/>
        </w:rPr>
        <w:t>Staging Area (`stg`):</w:t>
      </w:r>
      <w:r>
        <w:t xml:space="preserve"> Réplica 1:1 de las tablas fuentes del sistema SUIA y JBPM (ej. </w:t>
      </w:r>
      <w:r>
        <w:rPr>
          <w:rFonts w:ascii="Courier New" w:hAnsi="Courier New"/>
          <w:sz w:val="18"/>
        </w:rPr>
        <w:t>stg.online_payments_historical_bi</w:t>
      </w:r>
      <w:r>
        <w:t xml:space="preserve">). </w:t>
      </w:r>
    </w:p>
    <w:p>
      <w:pPr>
        <w:pStyle w:val="ListBullet"/>
        <w:spacing w:after="40"/>
      </w:pPr>
      <w:r/>
      <w:r>
        <w:rPr>
          <w:b/>
        </w:rPr>
        <w:t>Dimensional (`dw`):</w:t>
      </w:r>
      <w:r>
        <w:t xml:space="preserve"> Modelo en estrella y copo de nieve con dimensiones consolidadas y tablas de hechos.</w:t>
      </w:r>
    </w:p>
    <w:p>
      <w:pPr>
        <w:pStyle w:val="ListBullet"/>
        <w:spacing w:after="40"/>
      </w:pPr>
      <w:r/>
      <w:r>
        <w:rPr>
          <w:b/>
        </w:rPr>
        <w:t>Data Mart (`dm`):</w:t>
      </w:r>
      <w:r>
        <w:t xml:space="preserve"> Vistas analíticas optimizadas para el consumo del Dashboard RA.</w:t>
      </w:r>
    </w:p>
    <w:p>
      <w:pPr>
        <w:pStyle w:val="Heading2"/>
      </w:pPr>
      <w:r>
        <w:rPr>
          <w:b/>
          <w:sz w:val="28"/>
        </w:rPr>
        <w:t>3. Modelo de Datos Dimensional (dw)</w:t>
      </w:r>
    </w:p>
    <w:p>
      <w:pPr>
        <w:pStyle w:val="Heading3"/>
      </w:pPr>
      <w:r>
        <w:rPr>
          <w:b/>
          <w:color w:val="1F6FEB"/>
          <w:sz w:val="24"/>
        </w:rPr>
        <w:t>Tablas de Hechos (Facts)</w:t>
      </w:r>
    </w:p>
    <w:p>
      <w:pPr>
        <w:pStyle w:val="ListBullet"/>
        <w:spacing w:after="40"/>
      </w:pPr>
      <w:r/>
      <w:r>
        <w:rPr>
          <w:rFonts w:ascii="Courier New" w:hAnsi="Courier New"/>
          <w:sz w:val="18"/>
        </w:rPr>
        <w:t>fact_pago</w:t>
      </w:r>
      <w:r>
        <w:t xml:space="preserve">: Registra transacciones financieras. Incorpora </w:t>
      </w:r>
      <w:r>
        <w:rPr>
          <w:rFonts w:ascii="Courier New" w:hAnsi="Courier New"/>
          <w:sz w:val="18"/>
        </w:rPr>
        <w:t>secuencia_pago</w:t>
      </w:r>
      <w:r>
        <w:t xml:space="preserve">, </w:t>
      </w:r>
      <w:r>
        <w:rPr>
          <w:rFonts w:ascii="Courier New" w:hAnsi="Courier New"/>
          <w:sz w:val="18"/>
        </w:rPr>
        <w:t>es_deposito_inicial</w:t>
      </w:r>
      <w:r>
        <w:t xml:space="preserve"> y </w:t>
      </w:r>
      <w:r>
        <w:rPr>
          <w:rFonts w:ascii="Courier New" w:hAnsi="Courier New"/>
          <w:sz w:val="18"/>
        </w:rPr>
        <w:t>monto_acumulado</w:t>
      </w:r>
      <w:r>
        <w:t>.</w:t>
      </w:r>
    </w:p>
    <w:p>
      <w:pPr>
        <w:pStyle w:val="ListBullet"/>
        <w:spacing w:after="40"/>
      </w:pPr>
      <w:r/>
      <w:r>
        <w:rPr>
          <w:rFonts w:ascii="Courier New" w:hAnsi="Courier New"/>
          <w:sz w:val="18"/>
        </w:rPr>
        <w:t>fact_proyecto_geografia</w:t>
      </w:r>
      <w:r>
        <w:t>: Tabla "Bridge" (M:N) que asocia un proyecto con múltiples parroquias (</w:t>
      </w:r>
      <w:r>
        <w:rPr>
          <w:rFonts w:ascii="Courier New" w:hAnsi="Courier New"/>
          <w:sz w:val="18"/>
        </w:rPr>
        <w:t>es_principal</w:t>
      </w:r>
      <w:r>
        <w:t xml:space="preserve"> indica la ubicación primaria).</w:t>
      </w:r>
    </w:p>
    <w:p>
      <w:pPr>
        <w:pStyle w:val="Heading3"/>
      </w:pPr>
      <w:r>
        <w:rPr>
          <w:b/>
          <w:color w:val="1F6FEB"/>
          <w:sz w:val="24"/>
        </w:rPr>
        <w:t>Dimensiones Principales</w:t>
      </w:r>
    </w:p>
    <w:p>
      <w:pPr>
        <w:pStyle w:val="ListBullet"/>
        <w:spacing w:after="40"/>
      </w:pPr>
      <w:r/>
      <w:r>
        <w:rPr>
          <w:rFonts w:ascii="Courier New" w:hAnsi="Courier New"/>
          <w:sz w:val="18"/>
        </w:rPr>
        <w:t>dim_proyecto</w:t>
      </w:r>
      <w:r>
        <w:t xml:space="preserve">: Metadatos del proyecto, incluyendo el campo recuperado </w:t>
      </w:r>
      <w:r>
        <w:rPr>
          <w:rFonts w:ascii="Courier New" w:hAnsi="Courier New"/>
          <w:sz w:val="18"/>
        </w:rPr>
        <w:t>area_responsable</w:t>
      </w:r>
      <w:r>
        <w:t>.</w:t>
      </w:r>
    </w:p>
    <w:p>
      <w:pPr>
        <w:pStyle w:val="ListBullet"/>
        <w:spacing w:after="40"/>
      </w:pPr>
      <w:r/>
      <w:r>
        <w:rPr>
          <w:rFonts w:ascii="Courier New" w:hAnsi="Courier New"/>
          <w:sz w:val="18"/>
        </w:rPr>
        <w:t>dim_geografia</w:t>
      </w:r>
      <w:r>
        <w:t xml:space="preserve">: Modelo jerárquico recursivo (Provincia → Cantón → Parroquia) usando </w:t>
      </w:r>
      <w:r>
        <w:rPr>
          <w:rFonts w:ascii="Courier New" w:hAnsi="Courier New"/>
          <w:sz w:val="18"/>
        </w:rPr>
        <w:t>sk_padre</w:t>
      </w:r>
      <w:r>
        <w:t>. Contiene 1,390 registros unificados.</w:t>
      </w:r>
    </w:p>
    <w:p>
      <w:pPr>
        <w:pStyle w:val="ListBullet"/>
        <w:spacing w:after="40"/>
      </w:pPr>
      <w:r/>
      <w:r>
        <w:rPr>
          <w:rFonts w:ascii="Courier New" w:hAnsi="Courier New"/>
          <w:sz w:val="18"/>
        </w:rPr>
        <w:t>dim_fecha</w:t>
      </w:r>
      <w:r>
        <w:t>: Dimensión de tiempo estándar para análisis temporal.</w:t>
      </w:r>
    </w:p>
    <w:p>
      <w:pPr>
        <w:pStyle w:val="ListBullet"/>
        <w:spacing w:after="40"/>
      </w:pPr>
      <w:r/>
      <w:r>
        <w:rPr>
          <w:rFonts w:ascii="Courier New" w:hAnsi="Courier New"/>
          <w:sz w:val="18"/>
        </w:rPr>
        <w:t>dim_estado</w:t>
      </w:r>
      <w:r>
        <w:t>: Estados de los trámites y regularizaciones.</w:t>
      </w:r>
    </w:p>
    <w:p>
      <w:pPr>
        <w:pStyle w:val="Heading2"/>
      </w:pPr>
      <w:r>
        <w:rPr>
          <w:b/>
          <w:sz w:val="28"/>
        </w:rPr>
        <w:t>4. Lógica de Transformación de Negocio (ETL v3)</w:t>
      </w:r>
    </w:p>
    <w:p>
      <w:pPr>
        <w:pStyle w:val="Heading3"/>
      </w:pPr>
      <w:r>
        <w:rPr>
          <w:b/>
          <w:color w:val="1F6FEB"/>
          <w:sz w:val="24"/>
        </w:rPr>
        <w:t>Cálculo Histórico Global de Pagos</w:t>
      </w:r>
    </w:p>
    <w:p>
      <w:pPr>
        <w:spacing w:after="80"/>
      </w:pPr>
      <w:r>
        <w:t>El ETL implementa lógica diferencial usando *Window Functions* (</w:t>
      </w:r>
      <w:r>
        <w:rPr>
          <w:rFonts w:ascii="Courier New" w:hAnsi="Courier New"/>
          <w:color w:val="B51A1A"/>
          <w:sz w:val="19"/>
        </w:rPr>
        <w:t>LAG/LEAD</w:t>
      </w:r>
      <w:r>
        <w:t xml:space="preserve">) sobre </w:t>
      </w:r>
      <w:r>
        <w:rPr>
          <w:rFonts w:ascii="Courier New" w:hAnsi="Courier New"/>
          <w:color w:val="B51A1A"/>
          <w:sz w:val="19"/>
        </w:rPr>
        <w:t>stg.online_payments_historical_bi</w:t>
      </w:r>
      <w:r>
        <w:t>. Esto permite deducir el costo exacto por proyecto a partir de un depósito global (ej. cálculo de saldo decreciente).</w:t>
      </w:r>
    </w:p>
    <w:p>
      <w:pPr>
        <w:pStyle w:val="Heading3"/>
      </w:pPr>
      <w:r>
        <w:rPr>
          <w:b/>
          <w:color w:val="1F6FEB"/>
          <w:sz w:val="24"/>
        </w:rPr>
        <w:t>Jerarquía Geográfica Múltiple</w:t>
      </w:r>
    </w:p>
    <w:p>
      <w:pPr>
        <w:spacing w:after="80"/>
      </w:pPr>
      <w:r>
        <w:t xml:space="preserve">Los proyectos con afectación multi-parroquial se procesan generando N filas en la tabla bridge </w:t>
      </w:r>
      <w:r>
        <w:rPr>
          <w:rFonts w:ascii="Courier New" w:hAnsi="Courier New"/>
          <w:color w:val="B51A1A"/>
          <w:sz w:val="19"/>
        </w:rPr>
        <w:t>fact_proyecto_geografia</w:t>
      </w:r>
      <w:r>
        <w:t>, resolviendo las inconsistencias heredadas del DWH v1 que solo permitía 1 ubicación.</w:t>
      </w:r>
    </w:p>
    <w:p>
      <w:pPr>
        <w:pStyle w:val="Heading2"/>
      </w:pPr>
      <w:r>
        <w:rPr>
          <w:b/>
          <w:sz w:val="28"/>
        </w:rPr>
        <w:t>5. Diccionario de Datos (Muestra)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268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68"/>
            <w:shd w:val="clear" w:color="auto" w:fill="1F6FEB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`dw.dim_geografia`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`sk_geografia`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 PK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Clave subrogada geográfica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`dw.dim_geografia`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`sk_padre`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Referencia recursiva a la entidad contenedora (ej. Cantón de una Parroquia)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`dw.fact_pago`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`secuencia_pago`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Orden ordinal de descuento dentro de un trámite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`dw.dim_proyecto`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`area_responsable`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Oficina o unidad de negocio encargada del proyecto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