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6FEB"/>
          <w:sz w:val="36"/>
        </w:rPr>
        <w:t>Plan Integral de Pruebas y Aseguramiento de Calidad (QA) — DWH RA</w:t>
      </w:r>
    </w:p>
    <w:p>
      <w:pPr>
        <w:spacing w:after="80"/>
      </w:pPr>
      <w:r/>
      <w:r>
        <w:rPr>
          <w:b/>
        </w:rPr>
        <w:t>Versión:</w:t>
      </w:r>
      <w:r>
        <w:t xml:space="preserve"> 1.0 | </w:t>
      </w:r>
      <w:r>
        <w:rPr>
          <w:b/>
        </w:rPr>
        <w:t>Fecha:</w:t>
      </w:r>
      <w:r>
        <w:t xml:space="preserve"> 08 de mayo de 2026</w:t>
      </w:r>
    </w:p>
    <w:p>
      <w:pPr>
        <w:pStyle w:val="Heading2"/>
      </w:pPr>
      <w:r>
        <w:rPr>
          <w:b/>
          <w:sz w:val="28"/>
        </w:rPr>
        <w:t>1. Estrategia de Pruebas</w:t>
      </w:r>
    </w:p>
    <w:p>
      <w:pPr>
        <w:spacing w:after="80"/>
      </w:pPr>
      <w:r>
        <w:t xml:space="preserve">El objetivo de este plan es certificar la consistencia de los datos del Data Warehouse Regularización Ambiental frente a las fuentes originales de Producción (SUIA/JBPM). La meta de calidad (Threshold) está definida en </w:t>
      </w:r>
      <w:r>
        <w:rPr>
          <w:b/>
        </w:rPr>
        <w:t>\&gt;98% de coincidencia exacta</w:t>
      </w:r>
      <w:r>
        <w:t>.</w:t>
      </w:r>
    </w:p>
    <w:p>
      <w:pPr>
        <w:pStyle w:val="Heading2"/>
      </w:pPr>
      <w:r>
        <w:rPr>
          <w:b/>
          <w:sz w:val="28"/>
        </w:rPr>
        <w:t>2. Entorno de Pruebas</w:t>
      </w:r>
    </w:p>
    <w:p>
      <w:pPr>
        <w:pStyle w:val="ListBullet"/>
        <w:spacing w:after="40"/>
      </w:pPr>
      <w:r/>
      <w:r>
        <w:rPr>
          <w:b/>
        </w:rPr>
        <w:t>Origen (Source):</w:t>
      </w:r>
      <w:r>
        <w:t xml:space="preserve"> SUIA_ENLIS (Producción, Esquemas seleccionados).</w:t>
      </w:r>
    </w:p>
    <w:p>
      <w:pPr>
        <w:pStyle w:val="ListBullet"/>
        <w:spacing w:after="40"/>
      </w:pPr>
      <w:r/>
      <w:r>
        <w:rPr>
          <w:b/>
        </w:rPr>
        <w:t>Destino (Target):</w:t>
      </w:r>
      <w:r>
        <w:t xml:space="preserve"> </w:t>
      </w:r>
      <w:r>
        <w:rPr>
          <w:rFonts w:ascii="Courier New" w:hAnsi="Courier New"/>
          <w:sz w:val="18"/>
        </w:rPr>
        <w:t>dw_reg_v1</w:t>
      </w:r>
      <w:r>
        <w:t xml:space="preserve"> (QA/Test Environment).</w:t>
      </w:r>
    </w:p>
    <w:p>
      <w:pPr>
        <w:pStyle w:val="Heading2"/>
      </w:pPr>
      <w:r>
        <w:rPr>
          <w:b/>
          <w:sz w:val="28"/>
        </w:rPr>
        <w:t>3. Matriz de Trazabilidad y Casos de Prueba (Test Cases)</w:t>
      </w:r>
    </w:p>
    <w:p>
      <w:pPr>
        <w:pStyle w:val="Heading3"/>
      </w:pPr>
      <w:r>
        <w:rPr>
          <w:b/>
          <w:color w:val="1F6FEB"/>
          <w:sz w:val="24"/>
        </w:rPr>
        <w:t>TC-01: Validación de Consistencia Geográfica Múltiple (M:N)</w:t>
      </w:r>
    </w:p>
    <w:p>
      <w:pPr>
        <w:spacing w:after="80"/>
      </w:pPr>
      <w:r/>
      <w:r>
        <w:rPr>
          <w:b/>
        </w:rPr>
        <w:t>Objetivo:</w:t>
      </w:r>
      <w:r>
        <w:t xml:space="preserve"> Verificar que el DWH captura todas las parroquias asignadas a un único proyecto (Relación recursiva).</w:t>
      </w:r>
    </w:p>
    <w:p>
      <w:pPr>
        <w:spacing w:after="80"/>
      </w:pPr>
      <w:r/>
      <w:r>
        <w:rPr>
          <w:b/>
        </w:rPr>
        <w:t>Precondición:</w:t>
      </w:r>
      <w:r>
        <w:t xml:space="preserve"> Ejecución exitosa del script DDL v2 y el Bridge.</w:t>
      </w:r>
    </w:p>
    <w:p>
      <w:pPr>
        <w:spacing w:after="80"/>
      </w:pPr>
      <w:r/>
      <w:r>
        <w:rPr>
          <w:b/>
        </w:rPr>
        <w:t>Paso a paso:</w:t>
      </w:r>
      <w:r/>
    </w:p>
    <w:p>
      <w:pPr>
        <w:spacing w:after="80"/>
      </w:pPr>
      <w:r>
        <w:t xml:space="preserve">1. Consultar en Producción el proyecto </w:t>
      </w:r>
      <w:r>
        <w:rPr>
          <w:rFonts w:ascii="Courier New" w:hAnsi="Courier New"/>
          <w:color w:val="B51A1A"/>
          <w:sz w:val="19"/>
        </w:rPr>
        <w:t>2017-304882</w:t>
      </w:r>
      <w:r>
        <w:t xml:space="preserve"> (Debe poseer MACHÁNGARA y CHIQUINTAD).</w:t>
      </w:r>
    </w:p>
    <w:p>
      <w:pPr>
        <w:spacing w:after="80"/>
      </w:pPr>
      <w:r>
        <w:t xml:space="preserve">2. Consultar en DWH </w:t>
      </w:r>
      <w:r>
        <w:rPr>
          <w:rFonts w:ascii="Courier New" w:hAnsi="Courier New"/>
          <w:color w:val="B51A1A"/>
          <w:sz w:val="19"/>
        </w:rPr>
        <w:t>dw.dim_proyecto</w:t>
      </w:r>
      <w:r>
        <w:t xml:space="preserve"> (join con </w:t>
      </w:r>
      <w:r>
        <w:rPr>
          <w:rFonts w:ascii="Courier New" w:hAnsi="Courier New"/>
          <w:color w:val="B51A1A"/>
          <w:sz w:val="19"/>
        </w:rPr>
        <w:t>dw.fact_proyecto_geografia</w:t>
      </w:r>
      <w:r>
        <w:t xml:space="preserve"> y </w:t>
      </w:r>
      <w:r>
        <w:rPr>
          <w:rFonts w:ascii="Courier New" w:hAnsi="Courier New"/>
          <w:color w:val="B51A1A"/>
          <w:sz w:val="19"/>
        </w:rPr>
        <w:t>dw.dim_geografia</w:t>
      </w:r>
      <w:r>
        <w:t>).</w:t>
      </w:r>
    </w:p>
    <w:p>
      <w:pPr>
        <w:spacing w:after="80"/>
      </w:pPr>
      <w:r/>
      <w:r>
        <w:rPr>
          <w:b/>
        </w:rPr>
        <w:t>Criterio de Aceptación:</w:t>
      </w:r>
      <w:r>
        <w:t xml:space="preserve"> La query al DWH debe retornar exactamente 2 filas para ese proyecto, con ambas parroquias mapeadas correctamente a sus cantones y provincias respectivas usando la llave recursiva </w:t>
      </w:r>
      <w:r>
        <w:rPr>
          <w:rFonts w:ascii="Courier New" w:hAnsi="Courier New"/>
          <w:color w:val="B51A1A"/>
          <w:sz w:val="19"/>
        </w:rPr>
        <w:t>sk_padre</w:t>
      </w:r>
      <w:r>
        <w:t>.</w:t>
      </w:r>
    </w:p>
    <w:p>
      <w:pPr>
        <w:pStyle w:val="Heading3"/>
      </w:pPr>
      <w:r>
        <w:rPr>
          <w:b/>
          <w:color w:val="1F6FEB"/>
          <w:sz w:val="24"/>
        </w:rPr>
        <w:t>TC-02: Exactitud del Costo Transaccional Diferencial (ETL v3)</w:t>
      </w:r>
    </w:p>
    <w:p>
      <w:pPr>
        <w:spacing w:after="80"/>
      </w:pPr>
      <w:r/>
      <w:r>
        <w:rPr>
          <w:b/>
        </w:rPr>
        <w:t>Objetivo:</w:t>
      </w:r>
      <w:r>
        <w:t xml:space="preserve"> Confirmar que los proyectos no heredan erróneamente montos globales de un depósito compartido.</w:t>
      </w:r>
    </w:p>
    <w:p>
      <w:pPr>
        <w:spacing w:after="80"/>
      </w:pPr>
      <w:r/>
      <w:r>
        <w:rPr>
          <w:b/>
        </w:rPr>
        <w:t>Precondición:</w:t>
      </w:r>
      <w:r>
        <w:t xml:space="preserve"> Ejecución exitosa de </w:t>
      </w:r>
      <w:r>
        <w:rPr>
          <w:rFonts w:ascii="Courier New" w:hAnsi="Courier New"/>
          <w:color w:val="B51A1A"/>
          <w:sz w:val="19"/>
        </w:rPr>
        <w:t>etl_carga_datos_v3.sql</w:t>
      </w:r>
      <w:r>
        <w:t>.</w:t>
      </w:r>
    </w:p>
    <w:p>
      <w:pPr>
        <w:spacing w:after="80"/>
      </w:pPr>
      <w:r/>
      <w:r>
        <w:rPr>
          <w:b/>
        </w:rPr>
        <w:t>Paso a paso:</w:t>
      </w:r>
      <w:r/>
    </w:p>
    <w:p>
      <w:pPr>
        <w:spacing w:after="80"/>
      </w:pPr>
      <w:r>
        <w:t xml:space="preserve">1. Seleccionar un </w:t>
      </w:r>
      <w:r>
        <w:rPr>
          <w:rFonts w:ascii="Courier New" w:hAnsi="Courier New"/>
          <w:color w:val="B51A1A"/>
          <w:sz w:val="19"/>
        </w:rPr>
        <w:t>tramit_number</w:t>
      </w:r>
      <w:r>
        <w:t xml:space="preserve"> conocido que posea depósitos iniciales compartidos en JBPM.</w:t>
      </w:r>
    </w:p>
    <w:p>
      <w:pPr>
        <w:spacing w:after="80"/>
      </w:pPr>
      <w:r>
        <w:t>2. Extraer el costo de ese proyecto en el reporte estático antiguo de Producción.</w:t>
      </w:r>
    </w:p>
    <w:p>
      <w:pPr>
        <w:spacing w:after="80"/>
      </w:pPr>
      <w:r>
        <w:t xml:space="preserve">3. Extraer el </w:t>
      </w:r>
      <w:r>
        <w:rPr>
          <w:rFonts w:ascii="Courier New" w:hAnsi="Courier New"/>
          <w:color w:val="B51A1A"/>
          <w:sz w:val="19"/>
        </w:rPr>
        <w:t>monto_acumulado</w:t>
      </w:r>
      <w:r>
        <w:t xml:space="preserve"> del mismo proyecto en </w:t>
      </w:r>
      <w:r>
        <w:rPr>
          <w:rFonts w:ascii="Courier New" w:hAnsi="Courier New"/>
          <w:color w:val="B51A1A"/>
          <w:sz w:val="19"/>
        </w:rPr>
        <w:t>dw.fact_pago</w:t>
      </w:r>
      <w:r>
        <w:t>.</w:t>
      </w:r>
    </w:p>
    <w:p>
      <w:pPr>
        <w:spacing w:after="80"/>
      </w:pPr>
      <w:r/>
      <w:r>
        <w:rPr>
          <w:b/>
        </w:rPr>
        <w:t>Criterio de Aceptación:</w:t>
      </w:r>
      <w:r>
        <w:t xml:space="preserve"> El DWH debe reflejar el costo individual (descontado) del proyecto, en lugar del monto global compartido reportado por Producción. El valor en DWH es la única fuente de verdad contable aceptada.</w:t>
      </w:r>
    </w:p>
    <w:p>
      <w:pPr>
        <w:pStyle w:val="Heading3"/>
      </w:pPr>
      <w:r>
        <w:rPr>
          <w:b/>
          <w:color w:val="1F6FEB"/>
          <w:sz w:val="24"/>
        </w:rPr>
        <w:t>TC-03: Trazabilidad del Área Responsable</w:t>
      </w:r>
    </w:p>
    <w:p>
      <w:pPr>
        <w:spacing w:after="80"/>
      </w:pPr>
      <w:r/>
      <w:r>
        <w:rPr>
          <w:b/>
        </w:rPr>
        <w:t>Objetivo:</w:t>
      </w:r>
      <w:r>
        <w:t xml:space="preserve"> Asegurar que el ETL de carga dimensional preserva la dependencia organizacional.</w:t>
      </w:r>
    </w:p>
    <w:p>
      <w:pPr>
        <w:spacing w:after="80"/>
      </w:pPr>
      <w:r/>
      <w:r>
        <w:rPr>
          <w:b/>
        </w:rPr>
        <w:t>Paso a paso:</w:t>
      </w:r>
      <w:r/>
    </w:p>
    <w:p>
      <w:pPr>
        <w:spacing w:after="80"/>
      </w:pPr>
      <w:r>
        <w:t>1. Contar el número de proyectos en staging (</w:t>
      </w:r>
      <w:r>
        <w:rPr>
          <w:rFonts w:ascii="Courier New" w:hAnsi="Courier New"/>
          <w:color w:val="B51A1A"/>
          <w:sz w:val="19"/>
        </w:rPr>
        <w:t>consolidado_proyectos</w:t>
      </w:r>
      <w:r>
        <w:t xml:space="preserve">) que poseen el campo </w:t>
      </w:r>
      <w:r>
        <w:rPr>
          <w:rFonts w:ascii="Courier New" w:hAnsi="Courier New"/>
          <w:color w:val="B51A1A"/>
          <w:sz w:val="19"/>
        </w:rPr>
        <w:t>ÁREA RESPONSABLE PROYECTO</w:t>
      </w:r>
      <w:r>
        <w:t xml:space="preserve"> con valor no nulo.</w:t>
      </w:r>
    </w:p>
    <w:p>
      <w:pPr>
        <w:spacing w:after="80"/>
      </w:pPr>
      <w:r>
        <w:t xml:space="preserve">2. Contar el número de proyectos en </w:t>
      </w:r>
      <w:r>
        <w:rPr>
          <w:rFonts w:ascii="Courier New" w:hAnsi="Courier New"/>
          <w:color w:val="B51A1A"/>
          <w:sz w:val="19"/>
        </w:rPr>
        <w:t>dw.dim_proyecto</w:t>
      </w:r>
      <w:r>
        <w:t xml:space="preserve"> con </w:t>
      </w:r>
      <w:r>
        <w:rPr>
          <w:rFonts w:ascii="Courier New" w:hAnsi="Courier New"/>
          <w:color w:val="B51A1A"/>
          <w:sz w:val="19"/>
        </w:rPr>
        <w:t>area_responsable</w:t>
      </w:r>
      <w:r>
        <w:t xml:space="preserve"> no nulo.</w:t>
      </w:r>
    </w:p>
    <w:p>
      <w:pPr>
        <w:spacing w:after="80"/>
      </w:pPr>
      <w:r/>
      <w:r>
        <w:rPr>
          <w:b/>
        </w:rPr>
        <w:t>Criterio de Aceptación:</w:t>
      </w:r>
      <w:r>
        <w:t xml:space="preserve"> La cantidad debe ser exactamente la misma, certificando que no hay pérdida de información durante la transformación dimensional.</w:t>
      </w:r>
    </w:p>
    <w:p>
      <w:pPr>
        <w:pStyle w:val="Heading2"/>
      </w:pPr>
      <w:r>
        <w:rPr>
          <w:b/>
          <w:sz w:val="28"/>
        </w:rPr>
        <w:t>4. Informe de Ejecución y Resultados</w:t>
      </w:r>
    </w:p>
    <w:p>
      <w:pPr>
        <w:spacing w:after="80"/>
      </w:pPr>
      <w:r>
        <w:t>*(Esta sección debe ser completada por el Analista QA tras cada ciclo de pruebas)*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Fecha de Ejecución</w:t>
            </w:r>
          </w:p>
        </w:tc>
        <w:tc>
          <w:tcPr>
            <w:tcW w:type="dxa" w:w="1296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Versión DWH</w:t>
            </w:r>
          </w:p>
        </w:tc>
        <w:tc>
          <w:tcPr>
            <w:tcW w:type="dxa" w:w="1296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Total TC</w:t>
            </w:r>
          </w:p>
        </w:tc>
        <w:tc>
          <w:tcPr>
            <w:tcW w:type="dxa" w:w="1296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TC Pasados</w:t>
            </w:r>
          </w:p>
        </w:tc>
        <w:tc>
          <w:tcPr>
            <w:tcW w:type="dxa" w:w="1296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TC Fallidos</w:t>
            </w:r>
          </w:p>
        </w:tc>
        <w:tc>
          <w:tcPr>
            <w:tcW w:type="dxa" w:w="1296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% Coincidencia Final</w:t>
            </w:r>
          </w:p>
        </w:tc>
        <w:tc>
          <w:tcPr>
            <w:tcW w:type="dxa" w:w="1296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Firma QA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DD/MM/AAAA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v3.0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[__]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[__]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__%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________</w:t>
            </w:r>
          </w:p>
        </w:tc>
      </w:tr>
    </w:tbl>
    <w:p/>
    <w:p>
      <w:pPr>
        <w:pStyle w:val="Heading2"/>
      </w:pPr>
      <w:r>
        <w:rPr>
          <w:b/>
          <w:sz w:val="28"/>
        </w:rPr>
        <w:t>5. Acta de Conformidad Técnica</w:t>
      </w:r>
    </w:p>
    <w:p>
      <w:pPr>
        <w:spacing w:after="80"/>
      </w:pPr>
      <w:r>
        <w:t>Se declara que las pruebas arriba descritas validan la integridad de la base de datos analítica, mitigando los riesgos contables identificados en versiones previas.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