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Gestión DWH v1.6</w:t>
      </w:r>
    </w:p>
    <w:p>
      <w:pPr>
        <w:jc w:val="center"/>
      </w:pPr>
      <w:r>
        <w:rPr>
          <w:b/>
        </w:rPr>
        <w:t>Regularización Ambiental – Ecosistema de Datos</w:t>
      </w:r>
    </w:p>
    <w:p>
      <w:r>
        <w:br/>
        <w:br/>
        <w:br/>
        <w:br/>
        <w:br/>
      </w:r>
    </w:p>
    <w:p>
      <w:pPr>
        <w:jc w:val="right"/>
      </w:pPr>
      <w:r>
        <w:t>Fecha: Marzo 2026</w:t>
        <w:br/>
      </w:r>
      <w:r>
        <w:t>Autor: Antigravity AI – Senior Data Architect</w:t>
        <w:br/>
      </w:r>
      <w:r>
        <w:t>Versión: 1.6</w:t>
        <w:br/>
      </w:r>
    </w:p>
    <w:p>
      <w:r>
        <w:br w:type="page"/>
      </w:r>
    </w:p>
    <w:p>
      <w:r/>
      <w:r>
        <w:rPr>
          <w:b/>
        </w:rPr>
        <w:t>Fecha:</w:t>
      </w:r>
      <w:r>
        <w:t xml:space="preserve"> Marzo 2026</w:t>
      </w:r>
    </w:p>
    <w:p>
      <w:r/>
      <w:r>
        <w:rPr>
          <w:b/>
        </w:rPr>
        <w:t>Autor:</w:t>
      </w:r>
      <w:r>
        <w:t xml:space="preserve"> Antigravity AI – Senior Data Solutions Architect</w:t>
      </w:r>
    </w:p>
    <w:p>
      <w:r/>
      <w:r>
        <w:rPr>
          <w:b/>
        </w:rPr>
        <w:t>Estado:</w:t>
      </w:r>
      <w:r>
        <w:t xml:space="preserve"> ✅ CERTIFICACIÓN FINAL FASE v1.6</w:t>
      </w:r>
    </w:p>
    <w:p>
      <w:r>
        <w:t>---</w:t>
      </w:r>
    </w:p>
    <w:p>
      <w:pPr>
        <w:pStyle w:val="Heading1"/>
      </w:pPr>
      <w:r>
        <w:t>1. Resumen Ejecutivo</w:t>
      </w:r>
    </w:p>
    <w:p>
      <w:r>
        <w:t>El Data Warehouse (DWH) de Regularización Ambiental ha culminado su fase v1.6, consolidándose como el motor analítico central del MAATE. Este informe detalla el proceso granular de diseño y la evolución técnica desde la cimentación del modelo hasta la arquitectura actual de alta disponibilidad y trazabilidad forense.</w:t>
      </w:r>
    </w:p>
    <w:p>
      <w:pPr>
        <w:pStyle w:val="Heading1"/>
      </w:pPr>
      <w:r>
        <w:t>2. Ciclo de Vida del Diseño DWH: Fases del Proceso</w:t>
      </w:r>
    </w:p>
    <w:p>
      <w:r>
        <w:t>Para alcanzar la estructura actual, se ejecutó un proceso de diseño dividido en cuatro fases críticas:</w:t>
      </w:r>
    </w:p>
    <w:p>
      <w:pPr>
        <w:pStyle w:val="Heading2"/>
      </w:pPr>
      <w:r>
        <w:t>Fase A: Descubrimiento y Mapeo Multiorigen</w:t>
      </w:r>
    </w:p>
    <w:p>
      <w:pPr>
        <w:pStyle w:val="ListBullet"/>
      </w:pPr>
      <w:r/>
      <w:r>
        <w:rPr>
          <w:b/>
        </w:rPr>
        <w:t>Análisis de Fuentes:</w:t>
      </w:r>
      <w:r>
        <w:t xml:space="preserve"> Identificación de procesos transaccionales en SUIA (.179) y JBPM (.226).</w:t>
      </w:r>
    </w:p>
    <w:p>
      <w:pPr>
        <w:pStyle w:val="ListBullet"/>
      </w:pPr>
      <w:r/>
      <w:r>
        <w:rPr>
          <w:b/>
        </w:rPr>
        <w:t>Normalización de Esquemas:</w:t>
      </w:r>
      <w:r>
        <w:t xml:space="preserve"> Mapeo de campos dispares hacia una estructura común en la capa de </w:t>
      </w:r>
      <w:r>
        <w:rPr>
          <w:b/>
        </w:rPr>
        <w:t>Staging (stg)</w:t>
      </w:r>
      <w:r>
        <w:t>.</w:t>
      </w:r>
    </w:p>
    <w:p>
      <w:pPr>
        <w:pStyle w:val="ListBullet"/>
      </w:pPr>
      <w:r/>
      <w:r>
        <w:rPr>
          <w:b/>
        </w:rPr>
        <w:t>Limpieza de Cadenas:</w:t>
      </w:r>
      <w:r>
        <w:t xml:space="preserve"> Tratamiento de tipos de datos complejos y saneamiento de caracteres especiales en descripciones de proyectos.</w:t>
      </w:r>
    </w:p>
    <w:p>
      <w:pPr>
        <w:pStyle w:val="Heading2"/>
      </w:pPr>
      <w:r>
        <w:t>Fase B: Arquitectura de Dimensiones e Integridad</w:t>
      </w:r>
    </w:p>
    <w:p>
      <w:pPr>
        <w:pStyle w:val="ListBullet"/>
      </w:pPr>
      <w:r/>
      <w:r>
        <w:rPr>
          <w:b/>
        </w:rPr>
        <w:t>Modelo Estrella:</w:t>
      </w:r>
      <w:r>
        <w:t xml:space="preserve"> Diseño de dimensiones inmutables (`dw.dim_proyecto`, `dw.dim_proponente`) vinculadas a hechos transaccionales.</w:t>
      </w:r>
    </w:p>
    <w:p>
      <w:pPr>
        <w:pStyle w:val="ListBullet"/>
      </w:pPr>
      <w:r/>
      <w:r>
        <w:rPr>
          <w:b/>
        </w:rPr>
        <w:t>Estrategia de Integridad SK=0:</w:t>
      </w:r>
      <w:r>
        <w:t xml:space="preserve"> Inyección sistemática de la clave "Surrogate Key Zero" (N/A) para proteger la integridad referencial en Joins de dashboards ante datos faltantes en origen.</w:t>
      </w:r>
    </w:p>
    <w:p>
      <w:pPr>
        <w:pStyle w:val="ListBullet"/>
      </w:pPr>
      <w:r/>
      <w:r>
        <w:rPr>
          <w:b/>
        </w:rPr>
        <w:t>Deduplicación Inteligente:</w:t>
      </w:r>
      <w:r>
        <w:t xml:space="preserve"> Uso del operador `DISTINCT ON` basado en `date_update` para garantizar una única versión de la verdad por registro.</w:t>
      </w:r>
    </w:p>
    <w:p>
      <w:pPr>
        <w:pStyle w:val="Heading2"/>
      </w:pPr>
      <w:r>
        <w:t>Fase C: Motor de Inferencia Geográfica (Desafío Técnico)</w:t>
      </w:r>
    </w:p>
    <w:p>
      <w:pPr>
        <w:pStyle w:val="ListBullet"/>
      </w:pPr>
      <w:r/>
      <w:r>
        <w:rPr>
          <w:b/>
        </w:rPr>
        <w:t>Resolución de Brechas:</w:t>
      </w:r>
      <w:r>
        <w:t xml:space="preserve"> Creación del procedimiento `sp_carga_dim_area`.</w:t>
      </w:r>
    </w:p>
    <w:p>
      <w:pPr>
        <w:pStyle w:val="ListBullet"/>
      </w:pPr>
      <w:r/>
      <w:r>
        <w:rPr>
          <w:b/>
        </w:rPr>
        <w:t>Lógica de Recursividad:</w:t>
      </w:r>
      <w:r>
        <w:t xml:space="preserve"> Implementación de un motor que resuelve jerarquías de Oficinas Técnicas y Direcciones Zonales.</w:t>
      </w:r>
    </w:p>
    <w:p>
      <w:pPr>
        <w:pStyle w:val="ListBullet"/>
      </w:pPr>
      <w:r/>
      <w:r>
        <w:rPr>
          <w:b/>
        </w:rPr>
        <w:t>Normalización INEC:</w:t>
      </w:r>
      <w:r>
        <w:t xml:space="preserve"> Validación cruzada obligatoria contra el catálogo oficial `ref.inec_dpa_2024` para garantizar precisión cartográfica.</w:t>
      </w:r>
    </w:p>
    <w:p>
      <w:pPr>
        <w:pStyle w:val="Heading2"/>
      </w:pPr>
      <w:r>
        <w:t>Fase D: Expansión de Hechos y Trazabilidad Forense</w:t>
      </w:r>
    </w:p>
    <w:p>
      <w:pPr>
        <w:pStyle w:val="ListBullet"/>
      </w:pPr>
      <w:r/>
      <w:r>
        <w:rPr>
          <w:b/>
        </w:rPr>
        <w:t>Modelado de Residuos y Químicos:</w:t>
      </w:r>
      <w:r>
        <w:t xml:space="preserve"> Inclusión de `fact_waste_generation` y `fact_chemical_application`.</w:t>
      </w:r>
    </w:p>
    <w:p>
      <w:pPr>
        <w:pStyle w:val="ListBullet"/>
      </w:pPr>
      <w:r/>
      <w:r>
        <w:rPr>
          <w:b/>
        </w:rPr>
        <w:t>Enriquecimiento RUC:</w:t>
      </w:r>
      <w:r>
        <w:t xml:space="preserve"> Mapeo automático de identificadores desde el maestro SUIA hacia las dimensiones de generadores de residuos.</w:t>
      </w:r>
    </w:p>
    <w:p>
      <w:pPr>
        <w:pStyle w:val="ListBullet"/>
      </w:pPr>
      <w:r/>
      <w:r>
        <w:rPr>
          <w:b/>
        </w:rPr>
        <w:t>Auditoría de Saldos:</w:t>
      </w:r>
      <w:r>
        <w:t xml:space="preserve"> Implementación de `dw.fact_payment_traceability` para el seguimiento histórico de la billetera virtual.</w:t>
      </w:r>
    </w:p>
    <w:p>
      <w:pPr>
        <w:pStyle w:val="Heading1"/>
      </w:pPr>
      <w:r>
        <w:t>3. Evolución de la Estructura: Roadmap Técnico (2024-2026)</w:t>
      </w:r>
    </w:p>
    <w:p>
      <w:pPr>
        <w:pStyle w:val="Heading2"/>
      </w:pPr>
      <w:r>
        <w:t>Hito 1: Cimentación y Núcleo (v1.4)</w:t>
      </w:r>
    </w:p>
    <w:p>
      <w:pPr>
        <w:pStyle w:val="ListBullet"/>
      </w:pPr>
      <w:r/>
      <w:r>
        <w:rPr>
          <w:b/>
        </w:rPr>
        <w:t>Foco:</w:t>
      </w:r>
      <w:r>
        <w:t xml:space="preserve"> Estabilidad del modelo relacional y resolución del 100% de las brechas geográficas.</w:t>
      </w:r>
    </w:p>
    <w:p>
      <w:pPr>
        <w:pStyle w:val="ListBullet"/>
      </w:pPr>
      <w:r/>
      <w:r>
        <w:rPr>
          <w:b/>
        </w:rPr>
        <w:t>Resultado:</w:t>
      </w:r>
      <w:r>
        <w:t xml:space="preserve"> Integración exitosa de SUIA/RCOA y JBPM básico.</w:t>
      </w:r>
    </w:p>
    <w:p>
      <w:pPr>
        <w:pStyle w:val="Heading2"/>
      </w:pPr>
      <w:r>
        <w:t>Hito 2: Extensión Analítica (v1.5)</w:t>
      </w:r>
    </w:p>
    <w:p>
      <w:pPr>
        <w:pStyle w:val="ListBullet"/>
      </w:pPr>
      <w:r/>
      <w:r>
        <w:rPr>
          <w:b/>
        </w:rPr>
        <w:t>Foco:</w:t>
      </w:r>
      <w:r>
        <w:t xml:space="preserve"> Gestión de Residuos Peligrosos y Sustancias Químicas (COA).</w:t>
      </w:r>
    </w:p>
    <w:p>
      <w:pPr>
        <w:pStyle w:val="ListBullet"/>
      </w:pPr>
      <w:r/>
      <w:r>
        <w:rPr>
          <w:b/>
        </w:rPr>
        <w:t>Resultado:</w:t>
      </w:r>
      <w:r>
        <w:t xml:space="preserve"> Optimización de cargas masivas (&gt;470k registros) y dashboards de impacto ambiental.</w:t>
      </w:r>
    </w:p>
    <w:p>
      <w:pPr>
        <w:pStyle w:val="Heading2"/>
      </w:pPr>
      <w:r>
        <w:t>Hito 3: Trazabilidad e Infraestructura (v1.6)</w:t>
      </w:r>
    </w:p>
    <w:p>
      <w:pPr>
        <w:pStyle w:val="ListBullet"/>
      </w:pPr>
      <w:r/>
      <w:r>
        <w:rPr>
          <w:b/>
        </w:rPr>
        <w:t>Foco:</w:t>
      </w:r>
      <w:r>
        <w:t xml:space="preserve"> Auditoría forense de pagos históricos y migración a alto desempeño.</w:t>
      </w:r>
    </w:p>
    <w:p>
      <w:pPr>
        <w:pStyle w:val="ListBullet"/>
      </w:pPr>
      <w:r/>
      <w:r>
        <w:rPr>
          <w:b/>
        </w:rPr>
        <w:t>Resultado:</w:t>
      </w:r>
      <w:r>
        <w:t xml:space="preserve"> Despliegue en disco `D:\Datawrehouse_RA` y motor Python multiorigen operativo.</w:t>
      </w:r>
    </w:p>
    <w:p>
      <w:pPr>
        <w:pStyle w:val="Heading1"/>
      </w:pPr>
      <w:r>
        <w:t>4. Métricas de Calidad Final</w:t>
      </w:r>
    </w:p>
    <w:p>
      <w:pPr>
        <w:pStyle w:val="ListBullet"/>
      </w:pPr>
      <w:r/>
      <w:r>
        <w:rPr>
          <w:b/>
        </w:rPr>
        <w:t>Capacidad Instalada:</w:t>
      </w:r>
      <w:r>
        <w:t xml:space="preserve"> 67 tablas estratégicas documentadas.</w:t>
      </w:r>
    </w:p>
    <w:p>
      <w:pPr>
        <w:pStyle w:val="ListBullet"/>
      </w:pPr>
      <w:r/>
      <w:r>
        <w:rPr>
          <w:b/>
        </w:rPr>
        <w:t>Integridad de Generadores:</w:t>
      </w:r>
      <w:r>
        <w:t xml:space="preserve"> 15,849 registros verificados con RUC.</w:t>
      </w:r>
    </w:p>
    <w:p>
      <w:pPr>
        <w:pStyle w:val="ListBullet"/>
      </w:pPr>
      <w:r/>
      <w:r>
        <w:rPr>
          <w:b/>
        </w:rPr>
        <w:t>Conformidad Referencial:</w:t>
      </w:r>
      <w:r>
        <w:t xml:space="preserve"> 0% de fallos de FK mediante el uso de registros por defecto.</w:t>
      </w:r>
    </w:p>
    <w:p>
      <w:pPr>
        <w:pStyle w:val="Heading1"/>
      </w:pPr>
      <w:r>
        <w:t>5. Conclusiones y Certificación</w:t>
      </w:r>
    </w:p>
    <w:p>
      <w:r>
        <w:t xml:space="preserve">La arquitectura actual representa el pico de madurez técnica del DWH Regularización Ambiental, permitiendo no solo reportar datos pasados, sino auditar inconsistencias financieras y ambientales en tiempo real. Se entrega el sistema en estado </w:t>
      </w:r>
      <w:r>
        <w:rPr>
          <w:b/>
        </w:rPr>
        <w:t>CERTIFICADO</w:t>
      </w:r>
      <w:r>
        <w:t>.</w:t>
      </w:r>
    </w:p>
    <w:p>
      <w:r>
        <w:t>---</w:t>
      </w:r>
    </w:p>
    <w:p>
      <w:r/>
      <w:r>
        <w:rPr>
          <w:b/>
        </w:rPr>
        <w:t>Firma:</w:t>
      </w:r>
      <w:r/>
    </w:p>
    <w:p>
      <w:r>
        <w:t>*Ing. Antigravity AI*</w:t>
      </w:r>
    </w:p>
    <w:p>
      <w:r>
        <w:t>*Unidad de Arquitectura de Datos &amp; IA*</w:t>
      </w:r>
    </w:p>
    <w:p>
      <w:r>
        <w:br/>
        <w:br/>
      </w:r>
    </w:p>
    <w:p>
      <w:pPr>
        <w:jc w:val="center"/>
      </w:pPr>
      <w:r>
        <w:t>__________________________</w:t>
        <w:br/>
      </w:r>
      <w:r>
        <w:t>Antigravity AI – Arquitectura de Datos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