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240"/>
        <w:jc w:val="center"/>
      </w:pPr>
      <w:r>
        <w:rPr>
          <w:b/>
          <w:color w:val="0F172A"/>
          <w:sz w:val="64"/>
        </w:rPr>
        <w:t>COFFEEAPP v2.0</w:t>
      </w:r>
    </w:p>
    <w:p>
      <w:pPr>
        <w:spacing w:after="1200"/>
        <w:jc w:val="center"/>
      </w:pPr>
      <w:r>
        <w:rPr>
          <w:color w:val="64748B"/>
          <w:sz w:val="32"/>
        </w:rPr>
        <w:t>Documentación Técnica de Software</w:t>
      </w:r>
    </w:p>
    <w:p>
      <w:pPr>
        <w:spacing w:before="1600"/>
        <w:jc w:val="center"/>
      </w:pPr>
      <w:r>
        <w:rPr>
          <w:i/>
          <w:color w:val="475569"/>
          <w:sz w:val="22"/>
        </w:rPr>
        <w:t>Sistema de Gestión Comercial, Control de Kárdex por Recetas,</w:t>
        <w:br/>
        <w:t>Facturación Electrónica (SRI Ecuador), Seguridad ISO 27001</w:t>
        <w:br/>
        <w:t>y Cumplimiento de Privacidad LOPDP/GDPR</w:t>
        <w:br/>
        <w:br/>
        <w:t>Diseñado para Desarrolladores y Administradores de Sistemas</w:t>
      </w:r>
    </w:p>
    <w:p>
      <w:r>
        <w:br w:type="page"/>
      </w:r>
    </w:p>
    <w:p>
      <w:pPr>
        <w:pStyle w:val="Heading1"/>
        <w:keepNext/>
        <w:spacing w:before="400" w:after="160"/>
      </w:pPr>
      <w:r>
        <w:rPr>
          <w:b/>
          <w:color w:val="0F172A"/>
        </w:rPr>
        <w:t>Documentación Técnica - YUQUI v2.0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Sistema de Gestión de Cafetería y Facturación Electrónica (SRI Ecuador)</w:t>
      </w:r>
    </w:p>
    <w:p>
      <w:pPr>
        <w:spacing w:before="0" w:after="120" w:line="276" w:lineRule="auto"/>
      </w:pPr>
      <w:r>
        <w:t xml:space="preserve">Esta documentación técnica sirve como guía de referencia central para ingenieros de software de cualquier nivel que necesiten leer, mantener o extender el código de </w:t>
      </w:r>
      <w:r>
        <w:rPr>
          <w:b/>
        </w:rPr>
        <w:t>YUQUI</w:t>
      </w:r>
      <w:r>
        <w:t>. Cubre la arquitectura, base de datos, flujos de negocio clave (SRI, Kárdex/Recetas) y lineamientos para desarrollo.</w:t>
      </w:r>
    </w:p>
    <w:p>
      <w:pPr>
        <w:spacing w:before="0" w:after="12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1. Arquitectura y Componentes del Sistema</w:t>
      </w:r>
    </w:p>
    <w:p>
      <w:pPr>
        <w:spacing w:before="0" w:after="120" w:line="276" w:lineRule="auto"/>
      </w:pPr>
      <w:r>
        <w:t xml:space="preserve">YUQUI está estructurado como una aplicación monolitica con diseño modular en capas utilizando </w:t>
      </w:r>
      <w:r>
        <w:rPr>
          <w:b/>
        </w:rPr>
        <w:t>FastAPI</w:t>
      </w:r>
      <w:r>
        <w:t xml:space="preserve"> para la API web y servicios, y </w:t>
      </w:r>
      <w:r>
        <w:rPr>
          <w:b/>
        </w:rPr>
        <w:t>SQLAlchemy</w:t>
      </w:r>
      <w:r>
        <w:t xml:space="preserve"> como el mapeador objeto-relacional (ORM) para interactuar de forma transparente con bases de datos SQL.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1.1 Diagrama de Componentes (Mermaid)</w:t>
      </w:r>
    </w:p>
    <w:p>
      <w:pPr>
        <w:spacing w:before="0" w:after="120" w:line="276" w:lineRule="auto"/>
      </w:pPr>
      <w:r>
        <w:t>El siguiente diagrama detalla cómo fluyen las peticiones de los usuarios a través del sistema, cómo interactúa la lógica del negocio, la capa de persistencia y las integraciones externas: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2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9149878929308361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4A3B8"/>
          <w:sz w:val="17"/>
        </w:rPr>
        <w:t>▲ Representación gráfica del diagrama renderizado</w:t>
      </w:r>
    </w:p>
    <w:p>
      <w:pPr>
        <w:spacing w:before="0" w:after="12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2. Diagrama de Módulos (Estructura de Carpetas)</w:t>
      </w:r>
    </w:p>
    <w:p>
      <w:pPr>
        <w:spacing w:before="0" w:after="120" w:line="276" w:lineRule="auto"/>
      </w:pPr>
      <w:r>
        <w:t>La estructura física del código fuente sigue una organización por responsabilidades: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/app/config.py</w:t>
      </w:r>
      <w:r>
        <w:t xml:space="preserve">: Centraliza variables de entorno y define los </w:t>
      </w:r>
      <w:r>
        <w:rPr>
          <w:i/>
        </w:rPr>
        <w:t>Design Tokens</w:t>
      </w:r>
      <w:r>
        <w:t xml:space="preserve"> estéticos (colores, fuentes) para la UI dinámica.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/app/database.py</w:t>
      </w:r>
      <w:r>
        <w:t>: Define el ciclo de vida de la conexión y sesión (</w:t>
      </w:r>
      <w:r>
        <w:rPr>
          <w:rFonts w:ascii="Courier New" w:hAnsi="Courier New"/>
          <w:color w:val="C7254E"/>
          <w:sz w:val="19"/>
        </w:rPr>
        <w:t>get_db</w:t>
      </w:r>
      <w:r>
        <w:t>).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/app/models/</w:t>
      </w:r>
      <w:r>
        <w:t>: Contiene los modelos SQL estructurados en SQLAlchemy Declarative.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/app/routers/</w:t>
      </w:r>
      <w:r>
        <w:t>: Maneja los endpoints HTTP y el despacho de las plantillas HTML para la interfaz.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/app/services/</w:t>
      </w:r>
      <w:r>
        <w:t>: Lógica pesada desacoplada del framework web.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/app/templates/</w:t>
      </w:r>
      <w:r>
        <w:t>: Vistas de usuario renderizadas con HTML clásico.</w:t>
      </w:r>
    </w:p>
    <w:p>
      <w:pPr>
        <w:pStyle w:val="ListBullet"/>
        <w:spacing w:before="0" w:after="50"/>
      </w:pPr>
      <w:r>
        <w:rPr>
          <w:rFonts w:ascii="Courier New" w:hAnsi="Courier New"/>
          <w:color w:val="C7254E"/>
          <w:sz w:val="19"/>
        </w:rPr>
        <w:t>/app/static/</w:t>
      </w:r>
      <w:r>
        <w:t>: Hojas de estilo CSS (</w:t>
      </w:r>
      <w:r>
        <w:rPr>
          <w:rFonts w:ascii="Courier New" w:hAnsi="Courier New"/>
          <w:color w:val="C7254E"/>
          <w:sz w:val="19"/>
        </w:rPr>
        <w:t>index.css</w:t>
      </w:r>
      <w:r>
        <w:t xml:space="preserve"> de variables estéticas del tema) e imágenes del sistema.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79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-55906068824160739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4A3B8"/>
          <w:sz w:val="17"/>
        </w:rPr>
        <w:t>▲ Representación gráfica del diagrama renderizado</w:t>
      </w:r>
    </w:p>
    <w:p>
      <w:pPr>
        <w:spacing w:before="0" w:after="12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3. Casos de Uso del Negocio</w:t>
      </w:r>
    </w:p>
    <w:p>
      <w:pPr>
        <w:spacing w:before="0" w:after="120" w:line="276" w:lineRule="auto"/>
      </w:pPr>
      <w:r>
        <w:t>El sistema tiene cuatro actores principales que interactúan en la operación diaria de la cafetería: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8721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1481404092210352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721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4A3B8"/>
          <w:sz w:val="17"/>
        </w:rPr>
        <w:t>▲ Representación gráfica del diagrama renderizado</w:t>
      </w:r>
    </w:p>
    <w:p>
      <w:pPr>
        <w:spacing w:before="0" w:after="12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4. Estructura de la Base de Datos (Modelo Entidad-Relación)</w:t>
      </w:r>
    </w:p>
    <w:p>
      <w:pPr>
        <w:spacing w:before="0" w:after="120" w:line="276" w:lineRule="auto"/>
      </w:pPr>
      <w:r>
        <w:t>A continuación se muestra el diagrama ERD generado a partir de las declaraciones de SQLAlchemy. Define la integridad referencial y las dependencias de datos del sistema: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31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-12614924553035963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4A3B8"/>
          <w:sz w:val="17"/>
        </w:rPr>
        <w:t>▲ Representación gráfica del diagrama renderizado</w:t>
      </w:r>
    </w:p>
    <w:p>
      <w:pPr>
        <w:spacing w:before="0" w:after="12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5. Reglas de Negocio Clave y Flujo del Código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5.1 Flujo de Facturación Electrónica SRI (Ecuador)</w:t>
      </w:r>
    </w:p>
    <w:p>
      <w:pPr>
        <w:spacing w:before="0" w:after="120" w:line="276" w:lineRule="auto"/>
      </w:pPr>
      <w:r>
        <w:t xml:space="preserve">Cuando se procesa una venta en </w:t>
      </w:r>
      <w:r>
        <w:rPr>
          <w:rFonts w:ascii="Courier New" w:hAnsi="Courier New"/>
          <w:color w:val="C7254E"/>
          <w:sz w:val="19"/>
        </w:rPr>
        <w:t>/sales/</w:t>
      </w:r>
      <w:r>
        <w:t xml:space="preserve">, el sistema interactúa con </w:t>
      </w:r>
      <w:r>
        <w:rPr>
          <w:color w:val="2563EB"/>
          <w:u w:val="single"/>
        </w:rPr>
        <w:t>SRIService</w:t>
      </w:r>
      <w:r>
        <w:t>. El flujo técnico es:</w:t>
      </w:r>
    </w:p>
    <w:p>
      <w:pPr>
        <w:pStyle w:val="ListNumber"/>
        <w:spacing w:before="0" w:after="50"/>
      </w:pPr>
      <w:r>
        <w:rPr>
          <w:b/>
        </w:rPr>
        <w:t>Gestión Multiempresa (Multi-tenant) y Multipunto</w:t>
      </w:r>
      <w:r>
        <w:t>:</w:t>
      </w:r>
    </w:p>
    <w:p>
      <w:pPr>
        <w:spacing w:before="0" w:after="120" w:line="276" w:lineRule="auto"/>
      </w:pPr>
      <w:r>
        <w:t>La cabecera de la venta (</w:t>
      </w:r>
      <w:r>
        <w:rPr>
          <w:rFonts w:ascii="Courier New" w:hAnsi="Courier New"/>
          <w:color w:val="C7254E"/>
          <w:sz w:val="19"/>
        </w:rPr>
        <w:t>Sale</w:t>
      </w:r>
      <w:r>
        <w:t>) almacena la referencia a la empresa (</w:t>
      </w:r>
      <w:r>
        <w:rPr>
          <w:rFonts w:ascii="Courier New" w:hAnsi="Courier New"/>
          <w:color w:val="C7254E"/>
          <w:sz w:val="19"/>
        </w:rPr>
        <w:t>company_id</w:t>
      </w:r>
      <w:r>
        <w:t>) y al punto de emisión (</w:t>
      </w:r>
      <w:r>
        <w:rPr>
          <w:rFonts w:ascii="Courier New" w:hAnsi="Courier New"/>
          <w:color w:val="C7254E"/>
          <w:sz w:val="19"/>
        </w:rPr>
        <w:t>emission_point_id</w:t>
      </w:r>
      <w:r>
        <w:t xml:space="preserve">) seleccionados. Los datos fiscales (RUC, razón social, dirección matriz, ambiente) y la identidad de marca (personalidad, colores, logo) son recuperados dinámicamente del modelo </w:t>
      </w:r>
      <w:r>
        <w:rPr>
          <w:rFonts w:ascii="Courier New" w:hAnsi="Courier New"/>
          <w:color w:val="C7254E"/>
          <w:sz w:val="19"/>
        </w:rPr>
        <w:t>Company</w:t>
      </w:r>
      <w:r>
        <w:t xml:space="preserve"> almacenado en la base de datos, en lugar de estar fijos en variables </w:t>
      </w:r>
      <w:r>
        <w:rPr>
          <w:rFonts w:ascii="Courier New" w:hAnsi="Courier New"/>
          <w:color w:val="C7254E"/>
          <w:sz w:val="19"/>
        </w:rPr>
        <w:t>.env</w:t>
      </w:r>
      <w:r>
        <w:t>.</w:t>
      </w:r>
    </w:p>
    <w:p>
      <w:pPr>
        <w:pStyle w:val="ListNumber"/>
        <w:spacing w:before="0" w:after="50"/>
      </w:pPr>
      <w:r>
        <w:rPr>
          <w:b/>
        </w:rPr>
        <w:t>Generación de Secuenciales Strict</w:t>
      </w:r>
      <w:r>
        <w:t>:</w:t>
      </w:r>
    </w:p>
    <w:p>
      <w:pPr>
        <w:spacing w:before="0" w:after="120" w:line="276" w:lineRule="auto"/>
      </w:pPr>
      <w:r>
        <w:t>El secuencial de la factura (</w:t>
      </w:r>
      <w:r>
        <w:rPr>
          <w:rFonts w:ascii="Courier New" w:hAnsi="Courier New"/>
          <w:color w:val="C7254E"/>
          <w:sz w:val="19"/>
        </w:rPr>
        <w:t>invoice_number</w:t>
      </w:r>
      <w:r>
        <w:t xml:space="preserve">) se genera a partir del punto de emisión activo: </w:t>
      </w:r>
      <w:r>
        <w:rPr>
          <w:rFonts w:ascii="Courier New" w:hAnsi="Courier New"/>
          <w:color w:val="C7254E"/>
          <w:sz w:val="19"/>
        </w:rPr>
        <w:t>establecimiento - punto_emision - secuencial</w:t>
      </w:r>
      <w:r>
        <w:t>. El secuencial se incrementa de forma secuencial y atómica por transacción de venta en el backend.</w:t>
      </w:r>
    </w:p>
    <w:p>
      <w:pPr>
        <w:pStyle w:val="ListNumber"/>
        <w:spacing w:before="0" w:after="50"/>
      </w:pPr>
      <w:r>
        <w:rPr>
          <w:b/>
        </w:rPr>
        <w:t>Determinación Dinámica de IVA por Periodos</w:t>
      </w:r>
      <w:r>
        <w:t>:</w:t>
      </w:r>
    </w:p>
    <w:p>
      <w:pPr>
        <w:spacing w:before="0" w:after="120" w:line="276" w:lineRule="auto"/>
      </w:pPr>
      <w:r>
        <w:t xml:space="preserve">El porcentaje de impuesto se obtiene dinámicamente de la tabla </w:t>
      </w:r>
      <w:r>
        <w:rPr>
          <w:rFonts w:ascii="Courier New" w:hAnsi="Courier New"/>
          <w:color w:val="C7254E"/>
          <w:sz w:val="19"/>
        </w:rPr>
        <w:t>tax_parameters</w:t>
      </w:r>
      <w:r>
        <w:t xml:space="preserve"> basado en la fecha de la venta (</w:t>
      </w:r>
      <w:r>
        <w:rPr>
          <w:rFonts w:ascii="Courier New" w:hAnsi="Courier New"/>
          <w:color w:val="C7254E"/>
          <w:sz w:val="19"/>
        </w:rPr>
        <w:t>sale_date</w:t>
      </w:r>
      <w:r>
        <w:t>). El backend realiza una consulta para encontrar el parámetro de IVA activo y vigente para ese tramo de tiempo, permitiendo regularizaciones gubernamentales del SRI sin alterar la base histórica.</w:t>
      </w:r>
    </w:p>
    <w:p>
      <w:pPr>
        <w:pStyle w:val="ListNumber"/>
        <w:spacing w:before="0" w:after="50"/>
      </w:pPr>
      <w:r>
        <w:rPr>
          <w:b/>
        </w:rPr>
        <w:t>Generación de la Clave de Acceso (49 dígitos)</w:t>
      </w:r>
      <w:r>
        <w:t>:</w:t>
      </w:r>
    </w:p>
    <w:p>
      <w:pPr>
        <w:spacing w:before="0" w:after="120" w:line="276" w:lineRule="auto"/>
      </w:pPr>
      <w:r>
        <w:t>Se construye concatenando la fecha de emisión, código de factura ("01"), RUC de la empresa (13 dígitos), ambiente de la empresa ("1" o "2"), serie de emisión ("Establecimiento + Punto Emisión", e.g., "001001"), secuencial (9 dígitos), código numérico aleatorio (8 dígitos) y tipo de emisión ("1").</w:t>
      </w:r>
    </w:p>
    <w:p>
      <w:pPr>
        <w:pStyle w:val="ListNumber"/>
        <w:spacing w:before="0" w:after="50"/>
      </w:pPr>
      <w:r>
        <w:rPr>
          <w:b/>
        </w:rPr>
        <w:t>Cálculo de Chequeador Módulo 11</w:t>
      </w:r>
      <w:r>
        <w:t>:</w:t>
      </w:r>
    </w:p>
    <w:p>
      <w:pPr>
        <w:spacing w:before="0" w:after="120" w:line="276" w:lineRule="auto"/>
      </w:pPr>
      <w:r>
        <w:t xml:space="preserve">La función </w:t>
      </w:r>
      <w:r>
        <w:rPr>
          <w:rFonts w:ascii="Courier New" w:hAnsi="Courier New"/>
          <w:color w:val="C7254E"/>
          <w:sz w:val="19"/>
        </w:rPr>
        <w:t>_calculate_modulo11</w:t>
      </w:r>
      <w:r>
        <w:t xml:space="preserve"> aplica factores de multiplicación repetidos del 2 al 7 a cada dígito de derecha a izquierda. La suma de estos productos se divide por 11, y se resta el residuo a 11.</w:t>
      </w:r>
    </w:p>
    <w:p>
      <w:pPr>
        <w:spacing w:before="0" w:after="120" w:line="276" w:lineRule="auto"/>
      </w:pPr>
      <w:r>
        <w:rPr>
          <w:i/>
        </w:rPr>
        <w:t>Fórmula matemática</w:t>
      </w:r>
      <w:r>
        <w:t>:</w:t>
      </w:r>
    </w:p>
    <w:p>
      <w:pPr>
        <w:spacing w:before="0" w:after="120" w:line="276" w:lineRule="auto"/>
      </w:pPr>
      <w:r>
        <w:t>Suma = Σ (d_i × f_i)</w:t>
      </w:r>
    </w:p>
    <w:p>
      <w:pPr>
        <w:spacing w:before="0" w:after="120" w:line="276" w:lineRule="auto"/>
      </w:pPr>
      <w:r>
        <w:t>Residuo = Suma Modulo 11</w:t>
      </w:r>
    </w:p>
    <w:p>
      <w:pPr>
        <w:spacing w:before="0" w:after="120" w:line="276" w:lineRule="auto"/>
      </w:pPr>
      <w:r>
        <w:t>Verificador = 11 - Residuo (Si el resultado es 11 $\rightarrow 0$; si es 10 $\rightarrow 1$).</w:t>
      </w:r>
    </w:p>
    <w:p>
      <w:pPr>
        <w:pStyle w:val="ListNumber"/>
        <w:spacing w:before="0" w:after="50"/>
      </w:pPr>
      <w:r>
        <w:rPr>
          <w:b/>
        </w:rPr>
        <w:t>Esquema XML</w:t>
      </w:r>
      <w:r>
        <w:t>:</w:t>
      </w:r>
    </w:p>
    <w:p>
      <w:pPr>
        <w:spacing w:before="0" w:after="120" w:line="276" w:lineRule="auto"/>
      </w:pPr>
      <w:r>
        <w:t>Se compila un documento XML cumpliendo el esquema estándar de la ficha técnica SRI (v1.1.0). El código de porcentaje de IVA se asocia de forma dinámica (e.g., 2 para 12%, 4 para 15% según el estándar ecuatoriano).</w:t>
      </w:r>
    </w:p>
    <w:p>
      <w:pPr>
        <w:pStyle w:val="ListNumber"/>
        <w:spacing w:before="0" w:after="50"/>
      </w:pPr>
      <w:r>
        <w:rPr>
          <w:b/>
        </w:rPr>
        <w:t>Firma XAdES-BES</w:t>
      </w:r>
      <w:r>
        <w:t>:</w:t>
      </w:r>
    </w:p>
    <w:p>
      <w:pPr>
        <w:spacing w:before="0" w:after="120" w:line="276" w:lineRule="auto"/>
      </w:pPr>
      <w:r>
        <w:t xml:space="preserve">El método </w:t>
      </w:r>
      <w:r>
        <w:rPr>
          <w:rFonts w:ascii="Courier New" w:hAnsi="Courier New"/>
          <w:color w:val="C7254E"/>
          <w:sz w:val="19"/>
        </w:rPr>
        <w:t>sign_xml</w:t>
      </w:r>
      <w:r>
        <w:t xml:space="preserve"> provee la estructura inicial (Mock) para integrar firma mediante certificados electrónicos </w:t>
      </w:r>
      <w:r>
        <w:rPr>
          <w:rFonts w:ascii="Courier New" w:hAnsi="Courier New"/>
          <w:color w:val="C7254E"/>
          <w:sz w:val="19"/>
        </w:rPr>
        <w:t>.p12</w:t>
      </w:r>
      <w:r>
        <w:t xml:space="preserve"> cargados desde la base de datos de la empresa.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5.2 Descuento Automático de Inventario (BOM / Recetas)</w:t>
      </w:r>
    </w:p>
    <w:p>
      <w:pPr>
        <w:spacing w:before="0" w:after="120" w:line="276" w:lineRule="auto"/>
      </w:pPr>
      <w:r>
        <w:t xml:space="preserve">La función clave es </w:t>
      </w:r>
      <w:r>
        <w:rPr>
          <w:color w:val="2563EB"/>
          <w:u w:val="single"/>
        </w:rPr>
        <w:t>InventoryService.process_sale_inventory_deduction</w:t>
      </w:r>
      <w:r>
        <w:t>:</w:t>
      </w:r>
    </w:p>
    <w:p>
      <w:pPr>
        <w:pStyle w:val="ListBullet"/>
        <w:spacing w:before="0" w:after="50"/>
      </w:pPr>
      <w:r>
        <w:t xml:space="preserve">Para cada producto vendido, el sistema realiza una consulta a la tabla </w:t>
      </w:r>
      <w:r>
        <w:rPr>
          <w:rFonts w:ascii="Courier New" w:hAnsi="Courier New"/>
          <w:color w:val="C7254E"/>
          <w:sz w:val="19"/>
        </w:rPr>
        <w:t>recipes</w:t>
      </w:r>
      <w:r>
        <w:t>.</w:t>
      </w:r>
    </w:p>
    <w:p>
      <w:pPr>
        <w:pStyle w:val="ListBullet"/>
        <w:spacing w:before="0" w:after="50"/>
      </w:pPr>
      <w:r>
        <w:t>Si se encuentra una receta (ej. Capuchino): el sistema itera sobre cada insumo (leche, café) y descuenta del Kárdex la cantidad proporcional calculada:</w:t>
      </w:r>
    </w:p>
    <w:p>
      <w:pPr>
        <w:spacing w:before="0" w:after="120" w:line="276" w:lineRule="auto"/>
      </w:pPr>
      <w:r>
        <w:t>$$\text{Cantidad a Descontar} = \text{Cantidad de Insumo por Unidad} \times \text{Cantidad de Producto Vendida}$$</w:t>
      </w:r>
    </w:p>
    <w:p>
      <w:pPr>
        <w:pStyle w:val="ListBullet"/>
        <w:spacing w:before="0" w:after="50"/>
      </w:pPr>
      <w:r>
        <w:t>Si no hay receta, el sistema registra una salida directa del producto principal.</w:t>
      </w:r>
    </w:p>
    <w:p>
      <w:pPr>
        <w:pStyle w:val="ListBullet"/>
        <w:spacing w:before="0" w:after="50"/>
      </w:pPr>
      <w:r>
        <w:t xml:space="preserve">Cada movimiento actualiza el campo de auditoría rápida </w:t>
      </w:r>
      <w:r>
        <w:rPr>
          <w:rFonts w:ascii="Courier New" w:hAnsi="Courier New"/>
          <w:color w:val="C7254E"/>
          <w:sz w:val="19"/>
        </w:rPr>
        <w:t>balance_after</w:t>
      </w:r>
      <w:r>
        <w:t xml:space="preserve"> calculando el saldo acumulado en tiempo real.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5.3 Control de Acceso y Trazabilidad (ISO 27001)</w:t>
      </w:r>
    </w:p>
    <w:p>
      <w:pPr>
        <w:spacing w:before="0" w:after="120" w:line="276" w:lineRule="auto"/>
      </w:pPr>
      <w:r>
        <w:t xml:space="preserve">El módulo de autenticación </w:t>
      </w:r>
      <w:r>
        <w:rPr>
          <w:color w:val="2563EB"/>
          <w:u w:val="single"/>
        </w:rPr>
        <w:t>auth_service.py</w:t>
      </w:r>
      <w:r>
        <w:t xml:space="preserve"> aplica rigurosos controles de ciberseguridad basados en la norma </w:t>
      </w:r>
      <w:r>
        <w:rPr>
          <w:b/>
        </w:rPr>
        <w:t>ISO 27001 (Dominio A.9 y A.12)</w:t>
      </w:r>
      <w:r>
        <w:t>:</w:t>
      </w:r>
    </w:p>
    <w:p>
      <w:pPr>
        <w:pStyle w:val="ListBullet"/>
        <w:spacing w:before="0" w:after="50"/>
      </w:pPr>
      <w:r>
        <w:t>A.9.2.4</w:t>
      </w:r>
      <w:r>
        <w:rPr>
          <w:b/>
        </w:rPr>
      </w:r>
      <w:r>
        <w:t xml:space="preserve">: Las contraseñas se cifran usando </w:t>
      </w:r>
      <w:r>
        <w:rPr>
          <w:i/>
        </w:rPr>
        <w:t>bcrypt</w:t>
      </w:r>
      <w:r>
        <w:t xml:space="preserve"> con un costo computacional de factor 12.</w:t>
      </w:r>
    </w:p>
    <w:p>
      <w:pPr>
        <w:pStyle w:val="ListBullet"/>
        <w:spacing w:before="0" w:after="50"/>
      </w:pPr>
      <w:r>
        <w:t>A.9.4.2</w:t>
      </w:r>
      <w:r>
        <w:rPr>
          <w:b/>
        </w:rPr>
      </w:r>
      <w:r>
        <w:t>: Bloqueo temporal automático del usuario (duración configurable, por defecto 30 minutos) al acumular 5 intentos fallidos consecutivos de inicio de sesión.</w:t>
      </w:r>
    </w:p>
    <w:p>
      <w:pPr>
        <w:pStyle w:val="ListBullet"/>
        <w:spacing w:before="0" w:after="50"/>
      </w:pPr>
      <w:r>
        <w:t>A.9.4.3</w:t>
      </w:r>
      <w:r>
        <w:rPr>
          <w:b/>
        </w:rPr>
      </w:r>
      <w:r>
        <w:t>: Complejidad mínima exigida (mayúsculas, números, símbolos y longitud de caracteres) y memoria histórica para evitar reutilizar las últimas 5 contraseñas.</w:t>
      </w:r>
    </w:p>
    <w:p>
      <w:pPr>
        <w:pStyle w:val="ListBullet"/>
        <w:spacing w:before="0" w:after="50"/>
      </w:pPr>
      <w:r>
        <w:t>A.12.4.1</w:t>
      </w:r>
      <w:r>
        <w:rPr>
          <w:b/>
        </w:rPr>
      </w:r>
      <w:r>
        <w:t xml:space="preserve">: Cada acción que altere el estado o requiera seguridad (login, fallos de login, inserción de facturas, etc.) genera una fila en </w:t>
      </w:r>
      <w:r>
        <w:rPr>
          <w:rFonts w:ascii="Courier New" w:hAnsi="Courier New"/>
          <w:color w:val="C7254E"/>
          <w:sz w:val="19"/>
        </w:rPr>
        <w:t>AuditLog</w:t>
      </w:r>
      <w:r>
        <w:t xml:space="preserve"> persistiendo los valores anteriores y nuevos para auditorías forenses inmutables.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5.4 Gestión de Retenciones, Anulación y Reportería SRI</w:t>
      </w:r>
    </w:p>
    <w:p>
      <w:pPr>
        <w:spacing w:before="0" w:after="120" w:line="276" w:lineRule="auto"/>
      </w:pPr>
      <w:r>
        <w:t>El sistema provee una gestión fiscal robusta adaptada al SRI de Ecuador:</w:t>
      </w:r>
    </w:p>
    <w:p>
      <w:pPr>
        <w:pStyle w:val="ListBullet"/>
        <w:spacing w:before="0" w:after="50"/>
      </w:pPr>
      <w:r>
        <w:t>Pagos con Retenciones</w:t>
      </w:r>
      <w:r>
        <w:rPr>
          <w:b/>
        </w:rPr>
      </w:r>
      <w:r>
        <w:t>: Al registrar facturas, se capturan los detalles del comprobante físico de retención de IVA/Renta emitido por el cliente. El pago neto se calcula de forma automática deduciendo las retenciones, y se registra un pago contable compensatorio bajo el método "Retención" para asegurar el balance de la venta.</w:t>
      </w:r>
    </w:p>
    <w:p>
      <w:pPr>
        <w:pStyle w:val="ListBullet"/>
        <w:spacing w:before="0" w:after="50"/>
      </w:pPr>
      <w:r>
        <w:t>Anulación con Notas de Crédito</w:t>
      </w:r>
      <w:r>
        <w:rPr>
          <w:b/>
        </w:rPr>
      </w:r>
      <w:r>
        <w:t>: Para dar de baja facturas autorizadas, el sistema genera automáticamente un comprobante electrónico de Nota de Crédito (código "04"), consume un secuencial dedicado del punto de emisión y calcula su clave de acceso SRI correspondiente.</w:t>
      </w:r>
    </w:p>
    <w:p>
      <w:pPr>
        <w:pStyle w:val="ListBullet"/>
        <w:spacing w:before="0" w:after="50"/>
      </w:pPr>
      <w:r>
        <w:t>Reversión Automática de Stock</w:t>
      </w:r>
      <w:r>
        <w:rPr>
          <w:b/>
        </w:rPr>
      </w:r>
      <w:r>
        <w:t>: La anulación llama al servicio Kárdex para identificar los consumos originales por receta (BOM) o venta directa y emite movimientos de entrada (</w:t>
      </w:r>
      <w:r>
        <w:rPr>
          <w:rFonts w:ascii="Courier New" w:hAnsi="Courier New"/>
          <w:color w:val="C7254E"/>
          <w:sz w:val="19"/>
        </w:rPr>
        <w:t>IN</w:t>
      </w:r>
      <w:r>
        <w:t>) compensatorios para reponer existencias en tiempo real.</w:t>
      </w:r>
    </w:p>
    <w:p>
      <w:pPr>
        <w:pStyle w:val="ListBullet"/>
        <w:spacing w:before="0" w:after="50"/>
      </w:pPr>
      <w:r>
        <w:t>Reportes y Anexo ATS</w:t>
      </w:r>
      <w:r>
        <w:rPr>
          <w:b/>
        </w:rPr>
      </w:r>
      <w:r>
        <w:t>: El módulo consolida bases gravables por tarifa de IVA, desglosa comprobantes de retención recibidos y agrupa métricas por tipos de identificación del cliente (Cédula, RUC, CF) y códigos de pago oficiales del SRI para facilitar la declaración contable.</w:t>
      </w:r>
    </w:p>
    <w:p>
      <w:pPr>
        <w:spacing w:before="0" w:after="12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b/>
          <w:color w:val="0F172A"/>
        </w:rPr>
        <w:t>6. Guía Práctica de Desarrollo (Onboarding)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6.1 Cómo levantar el entorno local de desarrollo</w:t>
      </w:r>
    </w:p>
    <w:p>
      <w:pPr>
        <w:pStyle w:val="ListNumber"/>
        <w:spacing w:before="0" w:after="50"/>
      </w:pPr>
      <w:r>
        <w:rPr>
          <w:b/>
        </w:rPr>
        <w:t>Instalar dependencias</w:t>
      </w:r>
      <w:r>
        <w:t>:</w:t>
      </w:r>
    </w:p>
    <w:p>
      <w:pPr>
        <w:spacing w:before="0" w:after="120" w:line="276" w:lineRule="auto"/>
      </w:pPr>
      <w:r>
        <w:t>Asegúrate de contar con Python 3.10+ y ejecuta en tu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334155"/>
                <w:sz w:val="17"/>
              </w:rPr>
              <w:t xml:space="preserve">   pip install -r requirements.txt</w:t>
            </w:r>
          </w:p>
        </w:tc>
      </w:tr>
    </w:tbl>
    <w:p>
      <w:pPr>
        <w:pStyle w:val="ListNumber"/>
        <w:spacing w:before="0" w:after="50"/>
      </w:pPr>
      <w:r>
        <w:rPr>
          <w:b/>
        </w:rPr>
        <w:t>Configuración de Variables de Entorno</w:t>
      </w:r>
      <w:r>
        <w:t>:</w:t>
      </w:r>
    </w:p>
    <w:p>
      <w:pPr>
        <w:spacing w:before="0" w:after="120" w:line="276" w:lineRule="auto"/>
      </w:pPr>
      <w:r>
        <w:t xml:space="preserve">Copia el archivo </w:t>
      </w:r>
      <w:r>
        <w:rPr>
          <w:rFonts w:ascii="Courier New" w:hAnsi="Courier New"/>
          <w:color w:val="C7254E"/>
          <w:sz w:val="19"/>
        </w:rPr>
        <w:t>.env.example</w:t>
      </w:r>
      <w:r>
        <w:t xml:space="preserve"> como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y edita las credenciales:</w:t>
      </w:r>
    </w:p>
    <w:p>
      <w:pPr>
        <w:pStyle w:val="ListBullet"/>
        <w:spacing w:before="0" w:after="50"/>
      </w:pPr>
      <w:r>
        <w:t xml:space="preserve">Cambia </w:t>
      </w:r>
      <w:r>
        <w:rPr>
          <w:rFonts w:ascii="Courier New" w:hAnsi="Courier New"/>
          <w:color w:val="C7254E"/>
          <w:sz w:val="19"/>
        </w:rPr>
        <w:t>DB_ENGINE</w:t>
      </w:r>
      <w:r>
        <w:t xml:space="preserve"> a </w:t>
      </w:r>
      <w:r>
        <w:rPr>
          <w:rFonts w:ascii="Courier New" w:hAnsi="Courier New"/>
          <w:color w:val="C7254E"/>
          <w:sz w:val="19"/>
        </w:rPr>
        <w:t>sqlite</w:t>
      </w:r>
      <w:r>
        <w:t xml:space="preserve">, </w:t>
      </w:r>
      <w:r>
        <w:rPr>
          <w:rFonts w:ascii="Courier New" w:hAnsi="Courier New"/>
          <w:color w:val="C7254E"/>
          <w:sz w:val="19"/>
        </w:rPr>
        <w:t>postgresql</w:t>
      </w:r>
      <w:r>
        <w:t xml:space="preserve"> o </w:t>
      </w:r>
      <w:r>
        <w:rPr>
          <w:rFonts w:ascii="Courier New" w:hAnsi="Courier New"/>
          <w:color w:val="C7254E"/>
          <w:sz w:val="19"/>
        </w:rPr>
        <w:t>mysql</w:t>
      </w:r>
      <w:r>
        <w:t xml:space="preserve"> según tu preferencia.</w:t>
      </w:r>
    </w:p>
    <w:p>
      <w:pPr>
        <w:pStyle w:val="ListBullet"/>
        <w:spacing w:before="0" w:after="50"/>
      </w:pPr>
      <w:r>
        <w:t xml:space="preserve">Ajusta </w:t>
      </w:r>
      <w:r>
        <w:rPr>
          <w:rFonts w:ascii="Courier New" w:hAnsi="Courier New"/>
          <w:color w:val="C7254E"/>
          <w:sz w:val="19"/>
        </w:rPr>
        <w:t>BRAND_NAME</w:t>
      </w:r>
      <w:r>
        <w:t xml:space="preserve"> y tokens de identidad gráfica para cambiar el aspecto visual de la UI.</w:t>
      </w:r>
    </w:p>
    <w:p>
      <w:pPr>
        <w:pStyle w:val="ListNumber"/>
        <w:spacing w:before="0" w:after="50"/>
      </w:pPr>
      <w:r>
        <w:rPr>
          <w:b/>
        </w:rPr>
        <w:t>Iniciar la Base de Datos</w:t>
      </w:r>
      <w:r>
        <w:t>:</w:t>
      </w:r>
    </w:p>
    <w:p>
      <w:pPr>
        <w:spacing w:before="0" w:after="120" w:line="276" w:lineRule="auto"/>
      </w:pPr>
      <w:r>
        <w:t>El sistema creará las tablas automáticamente al inicializar la aplicación. Para sembrar datos iniciales o crear el esquema, puedes correr el servidor por primera vez.</w:t>
      </w:r>
    </w:p>
    <w:p>
      <w:pPr>
        <w:pStyle w:val="ListNumber"/>
        <w:spacing w:before="0" w:after="50"/>
      </w:pPr>
      <w:r>
        <w:rPr>
          <w:b/>
        </w:rPr>
        <w:t>Levantar el Servidor</w:t>
      </w:r>
      <w:r>
        <w:t>:</w:t>
      </w:r>
    </w:p>
    <w:p>
      <w:pPr>
        <w:spacing w:before="0" w:after="120" w:line="276" w:lineRule="auto"/>
      </w:pPr>
      <w:r>
        <w:t xml:space="preserve">Puedes hacer clic en el archivo por lotes </w:t>
      </w:r>
      <w:r>
        <w:rPr>
          <w:rFonts w:ascii="Courier New" w:hAnsi="Courier New"/>
          <w:color w:val="C7254E"/>
          <w:sz w:val="19"/>
        </w:rPr>
        <w:t>iniciar_app.bat</w:t>
      </w:r>
      <w:r>
        <w:t xml:space="preserve"> o ejecutar el comando: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334155"/>
                <w:sz w:val="17"/>
              </w:rPr>
              <w:t xml:space="preserve">   uvicorn app.main:app --reload --port 8000</w:t>
            </w:r>
          </w:p>
        </w:tc>
      </w:tr>
    </w:tbl>
    <w:p>
      <w:pPr>
        <w:spacing w:before="0" w:after="120" w:line="276" w:lineRule="auto"/>
      </w:pPr>
      <w:r>
        <w:t xml:space="preserve">Accede a la UI interactiva de desarrollo en </w:t>
      </w:r>
      <w:r>
        <w:rPr>
          <w:color w:val="2563EB"/>
          <w:u w:val="single"/>
        </w:rPr>
        <w:t>http://127.0.0.1:8000/docs</w:t>
      </w:r>
      <w:r>
        <w:t>.</w:t>
      </w:r>
    </w:p>
    <w:p>
      <w:pPr>
        <w:pStyle w:val="Heading3"/>
        <w:keepNext/>
        <w:spacing w:before="240" w:after="80"/>
      </w:pPr>
      <w:r>
        <w:rPr>
          <w:b/>
          <w:color w:val="475569"/>
        </w:rPr>
        <w:t>6.2 Cómo agregar un nuevo Router (Endpoint)</w:t>
      </w:r>
    </w:p>
    <w:p>
      <w:pPr>
        <w:pStyle w:val="ListNumber"/>
        <w:spacing w:before="0" w:after="50"/>
      </w:pPr>
      <w:r>
        <w:t xml:space="preserve">Crea un nuevo archivo en </w:t>
      </w:r>
      <w:r>
        <w:rPr>
          <w:rFonts w:ascii="Courier New" w:hAnsi="Courier New"/>
          <w:color w:val="C7254E"/>
          <w:sz w:val="19"/>
        </w:rPr>
        <w:t>app/routers/</w:t>
      </w:r>
      <w:r>
        <w:t xml:space="preserve"> (ej: </w:t>
      </w:r>
      <w:r>
        <w:rPr>
          <w:rFonts w:ascii="Courier New" w:hAnsi="Courier New"/>
          <w:color w:val="C7254E"/>
          <w:sz w:val="19"/>
        </w:rPr>
        <w:t>app/routers/promotions.py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334155"/>
                <w:sz w:val="17"/>
              </w:rPr>
              <w:t xml:space="preserve">   from fastapi import APIRouter, Depends</w:t>
              <w:br/>
              <w:t xml:space="preserve">   from sqlalchemy.orm import Session</w:t>
              <w:br/>
              <w:t xml:space="preserve">   from ..database import get_db</w:t>
              <w:br/>
              <w:br/>
              <w:t xml:space="preserve">   router = APIRouter(prefix="/api/promotions", tags=["Promociones"])</w:t>
              <w:br/>
              <w:br/>
              <w:t xml:space="preserve">   @router.get("/")</w:t>
              <w:br/>
              <w:t xml:space="preserve">   def list_promotions(db: Session = Depends(get_db)):</w:t>
              <w:br/>
              <w:t xml:space="preserve">       return {"promos": []}</w:t>
            </w:r>
          </w:p>
        </w:tc>
      </w:tr>
    </w:tbl>
    <w:p>
      <w:pPr>
        <w:pStyle w:val="ListNumber"/>
        <w:spacing w:before="0" w:after="50"/>
      </w:pPr>
      <w:r>
        <w:t xml:space="preserve">Registra el router en </w:t>
      </w:r>
      <w:r>
        <w:rPr>
          <w:color w:val="2563EB"/>
          <w:u w:val="single"/>
        </w:rPr>
        <w:t>app/main.py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334155"/>
                <w:sz w:val="17"/>
              </w:rPr>
              <w:t xml:space="preserve">   from .routers import promotions as promotions_router</w:t>
              <w:br/>
              <w:t xml:space="preserve">   # ...</w:t>
              <w:br/>
              <w:t xml:space="preserve">   app.include_router(promotions_router.router)</w:t>
            </w:r>
          </w:p>
        </w:tc>
      </w:tr>
    </w:tbl>
    <w:p>
      <w:pPr>
        <w:pStyle w:val="Heading3"/>
        <w:keepNext/>
        <w:spacing w:before="240" w:after="80"/>
      </w:pPr>
      <w:r>
        <w:rPr>
          <w:b/>
          <w:color w:val="475569"/>
        </w:rPr>
        <w:t>6.3 Cómo agregar un nuevo Modelo (Tabla)</w:t>
      </w:r>
    </w:p>
    <w:p>
      <w:pPr>
        <w:pStyle w:val="ListNumber"/>
        <w:spacing w:before="0" w:after="50"/>
      </w:pPr>
      <w:r>
        <w:t xml:space="preserve">Define tu clase SQLAlchemy en el archivo de módulo pertinente dentro de </w:t>
      </w:r>
      <w:r>
        <w:rPr>
          <w:rFonts w:ascii="Courier New" w:hAnsi="Courier New"/>
          <w:color w:val="C7254E"/>
          <w:sz w:val="19"/>
        </w:rPr>
        <w:t>app/models/</w:t>
      </w:r>
      <w:r>
        <w:t xml:space="preserve"> (ej. en </w:t>
      </w:r>
      <w:r>
        <w:rPr>
          <w:rFonts w:ascii="Courier New" w:hAnsi="Courier New"/>
          <w:color w:val="C7254E"/>
          <w:sz w:val="19"/>
        </w:rPr>
        <w:t>app/models/operations.py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334155"/>
                <w:sz w:val="17"/>
              </w:rPr>
              <w:t xml:space="preserve">   from sqlalchemy.orm import Mapped, mapped_column</w:t>
              <w:br/>
              <w:t xml:space="preserve">   from .core import Base</w:t>
              <w:br/>
              <w:br/>
              <w:t xml:space="preserve">   class Promotion(Base):</w:t>
              <w:br/>
              <w:t xml:space="preserve">       __tablename__ = "promotions"</w:t>
              <w:br/>
              <w:t xml:space="preserve">       id: Mapped[int] = mapped_column(primary_key=True)</w:t>
              <w:br/>
              <w:t xml:space="preserve">       code: Mapped[str] = mapped_column(unique=True, nullable=False)</w:t>
              <w:br/>
              <w:t xml:space="preserve">       discount_percent: Mapped[float] = mapped_column(default=0.0)</w:t>
            </w:r>
          </w:p>
        </w:tc>
      </w:tr>
    </w:tbl>
    <w:p>
      <w:pPr>
        <w:pStyle w:val="ListNumber"/>
        <w:spacing w:before="0" w:after="50"/>
      </w:pPr>
      <w:r>
        <w:t xml:space="preserve">Importa el modelo en </w:t>
      </w:r>
      <w:r>
        <w:rPr>
          <w:rFonts w:ascii="Courier New" w:hAnsi="Courier New"/>
          <w:color w:val="C7254E"/>
          <w:sz w:val="19"/>
        </w:rPr>
        <w:t>app/main.py</w:t>
      </w:r>
      <w:r>
        <w:t xml:space="preserve"> para asegurar que SQLAlchemy lo registre al inicializar: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334155"/>
                <w:sz w:val="17"/>
              </w:rPr>
              <w:t xml:space="preserve">   from .models.operations import Promotion</w:t>
            </w:r>
          </w:p>
        </w:tc>
      </w:tr>
    </w:tbl>
    <w:p>
      <w:pPr>
        <w:pStyle w:val="ListNumber"/>
        <w:spacing w:before="0" w:after="50"/>
      </w:pPr>
      <w:r>
        <w:t>Si usas PostgreSQL o MySQL en producción, ejecuta las migraciones de Alembic correspondientes para impactar la base de datos de destino.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