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749"/>
      </w:tblGrid>
      <w:tr>
        <w:tc>
          <w:tcPr>
            <w:tcW w:type="dxa" w:w="9749"/>
            <w:shd w:val="clear" w:color="auto" w:fill="2980B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3"/>
              </w:rPr>
              <w:t>SESIÓN DE APRENDIZAJE N° 01</w:t>
            </w:r>
          </w:p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584"/>
        <w:gridCol w:w="3288"/>
        <w:gridCol w:w="1584"/>
        <w:gridCol w:w="3288"/>
      </w:tblGrid>
      <w:tr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INSTITUCIÓN EDUCATIVA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IE Monte Alegre JEC</w:t>
            </w:r>
          </w:p>
        </w:tc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NIVEL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Secundaria</w:t>
            </w:r>
          </w:p>
        </w:tc>
      </w:tr>
      <w:tr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DOCENTE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Lic. Juan Alberto Quispe</w:t>
            </w:r>
          </w:p>
        </w:tc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ÁREA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Matematica</w:t>
            </w:r>
          </w:p>
        </w:tc>
      </w:tr>
      <w:tr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GRADO Y SECCIÓN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4to de Secundaria B</w:t>
            </w:r>
          </w:p>
        </w:tc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UNIDAD / PROYECTO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Unidad IV</w:t>
            </w:r>
          </w:p>
        </w:tc>
      </w:tr>
      <w:tr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FECHA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08 de Julio de 2026</w:t>
            </w:r>
          </w:p>
        </w:tc>
        <w:tc>
          <w:tcPr>
            <w:tcW w:type="dxa" w:w="1584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color w:val="1E293B"/>
                <w:sz w:val="17"/>
              </w:rPr>
              <w:t>DURACIÓN (MIN)</w:t>
            </w:r>
          </w:p>
        </w:tc>
        <w:tc>
          <w:tcPr>
            <w:tcW w:type="dxa" w:w="3288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b w:val="0"/>
                <w:sz w:val="19"/>
              </w:rPr>
              <w:t>90 minutos</w:t>
            </w:r>
          </w:p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749"/>
      </w:tblGrid>
      <w:tr>
        <w:tc>
          <w:tcPr>
            <w:tcW w:type="dxa" w:w="9749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TÍTULO DE LA SESIÓN</w:t>
            </w:r>
          </w:p>
        </w:tc>
      </w:tr>
      <w:tr>
        <w:tc>
          <w:tcPr>
            <w:tcW w:type="dxa" w:w="974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0392B"/>
                <w:sz w:val="21"/>
              </w:rPr>
              <w:t>Fracciones equivalentes en la vida cotidiana</w:t>
            </w:r>
          </w:p>
        </w:tc>
      </w:tr>
      <w:tr>
        <w:tc>
          <w:tcPr>
            <w:tcW w:type="dxa" w:w="9749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PROPÓSITO DE LA SESIÓN:</w:t>
            </w:r>
          </w:p>
        </w:tc>
      </w:tr>
      <w:tr>
        <w:tc>
          <w:tcPr>
            <w:tcW w:type="dxa" w:w="974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sz w:val="19"/>
              </w:rPr>
              <w:t>Hoy aprenderemos a identificar y operar con fracciones equivalentes.</w:t>
            </w:r>
          </w:p>
        </w:tc>
      </w:tr>
      <w:tr>
        <w:tc>
          <w:tcPr>
            <w:tcW w:type="dxa" w:w="9749"/>
            <w:shd w:val="clear" w:color="auto" w:fill="F7CAA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CONOCIMIENTOS:</w:t>
            </w:r>
          </w:p>
        </w:tc>
      </w:tr>
      <w:tr>
        <w:tc>
          <w:tcPr>
            <w:tcW w:type="dxa" w:w="974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sz w:val="19"/>
              </w:rPr>
              <w:t>Fracciones equivalentes, simplificacion.</w:t>
            </w:r>
          </w:p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152"/>
            <w:gridSpan w:val="5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PROPÓSITOS DE APRENDIZAJE</w:t>
            </w:r>
          </w:p>
        </w:tc>
      </w:tr>
      <w:tr>
        <w:tc>
          <w:tcPr>
            <w:tcW w:type="dxa" w:w="1152"/>
            <w:gridSpan w:val="5"/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/>
            </w:pPr>
            <w:r>
              <w:rPr>
                <w:b/>
                <w:sz w:val="19"/>
              </w:rPr>
              <w:t xml:space="preserve">Competencia: </w:t>
            </w:r>
            <w:r>
              <w:rPr>
                <w:sz w:val="19"/>
              </w:rPr>
              <w:t>Resuelve problemas de cantidad</w:t>
            </w:r>
          </w:p>
        </w:tc>
      </w:tr>
      <w:tr>
        <w:tc>
          <w:tcPr>
            <w:tcW w:type="dxa" w:w="1152"/>
            <w:gridSpan w:val="5"/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/>
            </w:pPr>
            <w:r>
              <w:rPr>
                <w:b/>
                <w:sz w:val="19"/>
              </w:rPr>
              <w:t xml:space="preserve">Estándar de aprendizaje: </w:t>
            </w:r>
            <w:r>
              <w:rPr>
                <w:sz w:val="19"/>
              </w:rPr>
              <w:t>Resuelve problemas referidos a relaciones entre cantidades.</w:t>
            </w:r>
          </w:p>
        </w:tc>
      </w:tr>
      <w:tr>
        <w:tc>
          <w:tcPr>
            <w:tcW w:type="dxa" w:w="1728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COMPETENCIAS</w:t>
            </w:r>
          </w:p>
        </w:tc>
        <w:tc>
          <w:tcPr>
            <w:tcW w:type="dxa" w:w="1973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CAPACIDADES</w:t>
            </w:r>
          </w:p>
        </w:tc>
        <w:tc>
          <w:tcPr>
            <w:tcW w:type="dxa" w:w="3168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CRITERIOS DE EVALUACIÓN</w:t>
            </w:r>
          </w:p>
        </w:tc>
        <w:tc>
          <w:tcPr>
            <w:tcW w:type="dxa" w:w="1728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PRODUCTO / EVIDENCIA</w:t>
            </w:r>
          </w:p>
        </w:tc>
        <w:tc>
          <w:tcPr>
            <w:tcW w:type="dxa" w:w="1152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INSTRUMENTOS DE EVALUACIÓN</w:t>
            </w:r>
          </w:p>
        </w:tc>
      </w:tr>
      <w:tr>
        <w:tc>
          <w:tcPr>
            <w:tcW w:type="dxa" w:w="1728"/>
            <w:vMerge w:val="restart"/>
            <w:shd w:val="clear" w:color="auto"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Resuelve problemas de cantidad</w:t>
            </w:r>
          </w:p>
        </w:tc>
        <w:tc>
          <w:tcPr>
            <w:tcW w:type="dxa" w:w="1973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</w:p>
          <w:p>
            <w:pPr>
              <w:spacing w:after="40"/>
            </w:pPr>
            <w:r>
              <w:rPr>
                <w:color w:val="2980B9"/>
                <w:sz w:val="18"/>
              </w:rPr>
              <w:t xml:space="preserve">● </w:t>
            </w:r>
            <w:r>
              <w:rPr>
                <w:sz w:val="18"/>
              </w:rPr>
              <w:t>Traduce cantidades.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</w:p>
          <w:p>
            <w:pPr>
              <w:spacing w:after="40"/>
            </w:pPr>
            <w:r>
              <w:rPr>
                <w:color w:val="2980B9"/>
                <w:sz w:val="18"/>
              </w:rPr>
              <w:t xml:space="preserve">● </w:t>
            </w:r>
            <w:r>
              <w:rPr>
                <w:sz w:val="18"/>
              </w:rPr>
              <w:t>Reconoce si dos fracciones son equivalentes.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64" w:lineRule="auto"/>
            </w:pPr>
            <w:r>
              <w:rPr>
                <w:sz w:val="17"/>
              </w:rPr>
              <w:t>Ficha practica.</w:t>
            </w:r>
          </w:p>
        </w:tc>
        <w:tc>
          <w:tcPr>
            <w:tcW w:type="dxa" w:w="1152"/>
            <w:vMerge w:val="restart"/>
            <w:shd w:val="clear" w:color="auto" w:fill="F2F2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line="264" w:lineRule="auto"/>
              <w:jc w:val="center"/>
            </w:pPr>
            <w:r>
              <w:rPr>
                <w:b/>
                <w:sz w:val="17"/>
              </w:rPr>
              <w:t>Lista de Cotejo</w:t>
            </w:r>
          </w:p>
        </w:tc>
      </w:tr>
      <w:tr>
        <w:tc>
          <w:tcPr>
            <w:tcW w:type="dxa" w:w="1950"/>
            <w:vMerge/>
          </w:tcPr>
          <w:p/>
        </w:tc>
        <w:tc>
          <w:tcPr>
            <w:tcW w:type="dxa" w:w="1973"/>
            <w:tcMar>
              <w:top w:w="40" w:type="dxa"/>
              <w:bottom w:w="40" w:type="dxa"/>
              <w:left w:w="40" w:type="dxa"/>
              <w:right w:w="40" w:type="dxa"/>
            </w:tcMar>
          </w:tcPr>
          <w:p/>
        </w:tc>
        <w:tc>
          <w:tcPr>
            <w:tcW w:type="dxa" w:w="3168"/>
            <w:tcMar>
              <w:top w:w="40" w:type="dxa"/>
              <w:bottom w:w="40" w:type="dxa"/>
              <w:left w:w="40" w:type="dxa"/>
              <w:right w:w="40" w:type="dxa"/>
            </w:tcMar>
          </w:tcPr>
          <w:p/>
        </w:tc>
        <w:tc>
          <w:tcPr>
            <w:tcW w:type="dxa" w:w="1728"/>
            <w:tcMar>
              <w:top w:w="40" w:type="dxa"/>
              <w:bottom w:w="40" w:type="dxa"/>
              <w:left w:w="40" w:type="dxa"/>
              <w:right w:w="40" w:type="dxa"/>
            </w:tcMar>
          </w:tcPr>
          <w:p/>
        </w:tc>
        <w:tc>
          <w:tcPr>
            <w:tcW w:type="dxa" w:w="1950"/>
            <w:vMerge/>
          </w:tcPr>
          <w:p/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874"/>
        <w:gridCol w:w="4874"/>
      </w:tblGrid>
      <w:tr>
        <w:tc>
          <w:tcPr>
            <w:tcW w:type="dxa" w:w="3600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COMPETENCIAS TRANSVERSALES</w:t>
            </w:r>
          </w:p>
        </w:tc>
        <w:tc>
          <w:tcPr>
            <w:tcW w:type="dxa" w:w="6149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DESEMPENOS PRECISADOS / PRODUCTO / INSTRUMENTOS</w:t>
            </w:r>
          </w:p>
        </w:tc>
      </w:tr>
      <w:tr>
        <w:tc>
          <w:tcPr>
            <w:tcW w:type="dxa" w:w="3600"/>
            <w:shd w:val="clear" w:color="auto"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Gestiona su aprendizaje de manera autonoma</w:t>
            </w:r>
          </w:p>
        </w:tc>
        <w:tc>
          <w:tcPr>
            <w:tcW w:type="dxa" w:w="614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</w:p>
          <w:p>
            <w:pPr>
              <w:spacing w:after="40"/>
            </w:pPr>
            <w:r>
              <w:rPr>
                <w:color w:val="2980B9"/>
                <w:sz w:val="18"/>
              </w:rPr>
              <w:t xml:space="preserve">● </w:t>
            </w:r>
            <w:r>
              <w:rPr>
                <w:sz w:val="18"/>
              </w:rPr>
              <w:t>Define metas de aprendizaje para alcanzar sus objetivos pedagógicos.</w:t>
            </w:r>
          </w:p>
          <w:p>
            <w:pPr>
              <w:spacing w:after="40"/>
            </w:pPr>
            <w:r>
              <w:rPr>
                <w:color w:val="C0392B"/>
                <w:sz w:val="18"/>
              </w:rPr>
              <w:t xml:space="preserve">● </w:t>
            </w:r>
            <w:r>
              <w:rPr>
                <w:sz w:val="18"/>
              </w:rPr>
              <w:t>Organiza acciones estrategicas para alcanzar sus metas de aprendizaje.</w:t>
            </w:r>
          </w:p>
          <w:p>
            <w:pPr>
              <w:spacing w:after="40"/>
            </w:pPr>
            <w:r>
              <w:rPr>
                <w:color w:val="27AE60"/>
                <w:sz w:val="18"/>
              </w:rPr>
              <w:t xml:space="preserve">● </w:t>
            </w:r>
            <w:r>
              <w:rPr>
                <w:sz w:val="18"/>
              </w:rPr>
              <w:t>Monitorea y ajusta su desempeno durante el proceso de aprendizaje.</w:t>
            </w:r>
          </w:p>
        </w:tc>
      </w:tr>
      <w:tr>
        <w:tc>
          <w:tcPr>
            <w:tcW w:type="dxa" w:w="3600"/>
            <w:shd w:val="clear" w:color="auto"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Se desenvuelve en los entornos virtuales generados por las TIC</w:t>
            </w:r>
          </w:p>
        </w:tc>
        <w:tc>
          <w:tcPr>
            <w:tcW w:type="dxa" w:w="614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</w:p>
          <w:p>
            <w:pPr>
              <w:spacing w:after="40"/>
            </w:pPr>
            <w:r>
              <w:rPr>
                <w:color w:val="2980B9"/>
                <w:sz w:val="18"/>
              </w:rPr>
              <w:t xml:space="preserve">● </w:t>
            </w:r>
            <w:r>
              <w:rPr>
                <w:sz w:val="18"/>
              </w:rPr>
              <w:t>Personaliza entornos virtuales segun sus necesidades de indagacion.</w:t>
            </w:r>
          </w:p>
          <w:p>
            <w:pPr>
              <w:spacing w:after="40"/>
            </w:pPr>
            <w:r>
              <w:rPr>
                <w:color w:val="C0392B"/>
                <w:sz w:val="18"/>
              </w:rPr>
              <w:t xml:space="preserve">● </w:t>
            </w:r>
            <w:r>
              <w:rPr>
                <w:sz w:val="18"/>
              </w:rPr>
              <w:t>Gestiona informacion del entorno virtual de manera segura.</w:t>
            </w:r>
          </w:p>
          <w:p>
            <w:pPr>
              <w:spacing w:after="40"/>
            </w:pPr>
            <w:r>
              <w:rPr>
                <w:color w:val="27AE60"/>
                <w:sz w:val="18"/>
              </w:rPr>
              <w:t xml:space="preserve">● </w:t>
            </w:r>
            <w:r>
              <w:rPr>
                <w:sz w:val="18"/>
              </w:rPr>
              <w:t>Interactua en entornos virtuales y crea objetos virtuales.</w:t>
            </w:r>
          </w:p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2880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Enfoque(s) transversal(es)</w:t>
            </w:r>
          </w:p>
        </w:tc>
        <w:tc>
          <w:tcPr>
            <w:tcW w:type="dxa" w:w="1973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Valores</w:t>
            </w:r>
          </w:p>
        </w:tc>
        <w:tc>
          <w:tcPr>
            <w:tcW w:type="dxa" w:w="4896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Actitudes o acciones observables</w:t>
            </w:r>
          </w:p>
        </w:tc>
      </w:tr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Enfoque Ambiental</w:t>
            </w:r>
          </w:p>
        </w:tc>
        <w:tc>
          <w:tcPr>
            <w:tcW w:type="dxa" w:w="1973"/>
            <w:shd w:val="clear" w:color="auto" w:fill="FFF2C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Justicia y solidaridad</w:t>
            </w:r>
          </w:p>
        </w:tc>
        <w:tc>
          <w:tcPr>
            <w:tcW w:type="dxa" w:w="4896"/>
            <w:shd w:val="clear" w:color="auto" w:fill="FFF2C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Reduce el uso de materiales desechables, reutilizando cuadernos, hojas y envases cuando sea posible durante las actividades del aula.</w:t>
            </w:r>
          </w:p>
        </w:tc>
      </w:tr>
      <w:tr>
        <w:tc>
          <w:tcPr>
            <w:tcW w:type="dxa" w:w="2880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Enfoque Busqueda de la Excelencia</w:t>
            </w:r>
          </w:p>
        </w:tc>
        <w:tc>
          <w:tcPr>
            <w:tcW w:type="dxa" w:w="1973"/>
            <w:shd w:val="clear" w:color="auto" w:fill="FFF2C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Equidad y Justicia</w:t>
            </w:r>
          </w:p>
        </w:tc>
        <w:tc>
          <w:tcPr>
            <w:tcW w:type="dxa" w:w="4896"/>
            <w:shd w:val="clear" w:color="auto" w:fill="FFF2C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Dialoga con tus compañeros para resolver desacuerdos y escucha con atencion.</w:t>
            </w:r>
          </w:p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874"/>
        <w:gridCol w:w="4874"/>
      </w:tblGrid>
      <w:tr>
        <w:tc>
          <w:tcPr>
            <w:tcW w:type="dxa" w:w="3600"/>
            <w:shd w:val="clear" w:color="auto" w:fill="FFE59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Páginas de: Texto de, otros textos de consulta/ Enlace web, etc.</w:t>
            </w:r>
          </w:p>
        </w:tc>
        <w:tc>
          <w:tcPr>
            <w:tcW w:type="dxa" w:w="6149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https://www.perueduca.pe/#/home/materiales-educativos</w:t>
            </w:r>
          </w:p>
        </w:tc>
      </w:tr>
      <w:tr>
        <w:tc>
          <w:tcPr>
            <w:tcW w:type="dxa" w:w="3600"/>
            <w:shd w:val="clear" w:color="auto" w:fill="FFE59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6149"/>
            <w:shd w:val="clear" w:color="auto" w:fill="F2F2F2"/>
            <w:tcMar>
              <w:top w:w="40" w:type="dxa"/>
              <w:bottom w:w="40" w:type="dxa"/>
              <w:left w:w="120" w:type="dxa"/>
              <w:right w:w="120" w:type="dxa"/>
            </w:tcMar>
          </w:tcPr>
          <w:p/>
        </w:tc>
      </w:tr>
      <w:tr>
        <w:tc>
          <w:tcPr>
            <w:tcW w:type="dxa" w:w="3600"/>
            <w:shd w:val="clear" w:color="auto" w:fill="FBE5D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Materiales y recursos</w:t>
            </w:r>
          </w:p>
        </w:tc>
        <w:tc>
          <w:tcPr>
            <w:tcW w:type="dxa" w:w="6149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Ficha de actividades N° 01-02</w:t>
            </w:r>
          </w:p>
        </w:tc>
      </w:tr>
      <w:tr>
        <w:tc>
          <w:tcPr>
            <w:tcW w:type="dxa" w:w="3600"/>
            <w:shd w:val="clear" w:color="auto" w:fill="FFE59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Actividades de Refuerzo Escolar (N° ficha y Título)</w:t>
            </w:r>
          </w:p>
        </w:tc>
        <w:tc>
          <w:tcPr>
            <w:tcW w:type="dxa" w:w="6149"/>
            <w:shd w:val="clear" w:color="auto" w:fill="F2F2F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</w:r>
          </w:p>
        </w:tc>
      </w:tr>
    </w:tbl>
    <w:p>
      <w:pPr>
        <w:spacing w:before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37"/>
        <w:gridCol w:w="2437"/>
        <w:gridCol w:w="2437"/>
        <w:gridCol w:w="2437"/>
      </w:tblGrid>
      <w:tr>
        <w:tc>
          <w:tcPr>
            <w:tcW w:type="dxa" w:w="1728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MOMENTOS DE LA SESION</w:t>
            </w:r>
          </w:p>
        </w:tc>
        <w:tc>
          <w:tcPr>
            <w:tcW w:type="dxa" w:w="504"/>
            <w:gridSpan w:val="3"/>
            <w:shd w:val="clear" w:color="auto" w:fill="BDD6E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ESTRATEGIAS / ACTIVIDADES</w:t>
            </w:r>
          </w:p>
        </w:tc>
      </w:tr>
      <w:tr>
        <w:tc>
          <w:tcPr>
            <w:tcW w:type="dxa" w:w="1728"/>
            <w:shd w:val="clear" w:color="auto" w:fill="EDEDE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sz w:val="20"/>
              </w:rPr>
              <w:t>INICIO</w:t>
            </w:r>
          </w:p>
          <w:p>
            <w:pPr>
              <w:spacing w:before="80"/>
            </w:pPr>
            <w:r>
              <w:rPr>
                <w:color w:val="475569"/>
                <w:sz w:val="16"/>
              </w:rPr>
              <w:t>Saberes Previos</w:t>
              <w:br/>
              <w:t>Problematizacion</w:t>
              <w:br/>
              <w:t>Motivacion</w:t>
            </w:r>
          </w:p>
          <w:p>
            <w:pPr>
              <w:spacing w:before="120"/>
            </w:pPr>
            <w:r>
              <w:rPr>
                <w:b/>
                <w:color w:val="C0392B"/>
                <w:sz w:val="17"/>
              </w:rPr>
              <w:t>⏱ TIEMPO: 15 min</w:t>
            </w:r>
          </w:p>
        </w:tc>
        <w:tc>
          <w:tcPr>
            <w:tcW w:type="dxa" w:w="504"/>
            <w:shd w:val="clear" w:color="auto" w:fill="FBE5D5"/>
            <w:tcMar>
              <w:top w:w="120" w:type="dxa"/>
              <w:bottom w:w="120" w:type="dxa"/>
              <w:left w:w="40" w:type="dxa"/>
              <w:right w:w="40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b/>
                <w:color w:val="783C14"/>
                <w:sz w:val="17"/>
              </w:rPr>
              <w:br/>
              <w:t>M</w:t>
              <w:br/>
              <w:br/>
              <w:t>O</w:t>
              <w:br/>
              <w:br/>
              <w:t>T</w:t>
              <w:br/>
              <w:br/>
              <w:t>I</w:t>
              <w:br/>
              <w:br/>
              <w:t>V</w:t>
              <w:br/>
              <w:br/>
              <w:t>A</w:t>
              <w:br/>
              <w:br/>
              <w:t>C</w:t>
              <w:br/>
              <w:br/>
              <w:t>I</w:t>
              <w:br/>
              <w:br/>
              <w:t>O</w:t>
              <w:br/>
              <w:br/>
              <w:t>N</w:t>
              <w:br/>
            </w:r>
          </w:p>
        </w:tc>
        <w:tc>
          <w:tcPr>
            <w:tcW w:type="dxa" w:w="701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/>
          </w:p>
          <w:p>
            <w:pPr>
              <w:spacing w:after="80" w:line="276" w:lineRule="auto"/>
            </w:pPr>
            <w:r>
              <w:rPr>
                <w:sz w:val="19"/>
              </w:rPr>
              <w:t>El docente saluda, establece acuerdos.</w:t>
            </w:r>
          </w:p>
        </w:tc>
        <w:tc>
          <w:tcPr>
            <w:tcW w:type="dxa" w:w="504"/>
            <w:shd w:val="clear" w:color="auto" w:fill="FBE5D5"/>
            <w:tcMar>
              <w:top w:w="120" w:type="dxa"/>
              <w:bottom w:w="120" w:type="dxa"/>
              <w:left w:w="40" w:type="dxa"/>
              <w:right w:w="40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b/>
                <w:color w:val="783C14"/>
                <w:sz w:val="17"/>
              </w:rPr>
              <w:br/>
              <w:t>E</w:t>
              <w:br/>
              <w:br/>
              <w:t>V</w:t>
              <w:br/>
              <w:br/>
              <w:t>A</w:t>
              <w:br/>
              <w:br/>
              <w:t>L</w:t>
              <w:br/>
              <w:br/>
              <w:t>U</w:t>
              <w:br/>
              <w:br/>
              <w:t>A</w:t>
              <w:br/>
              <w:br/>
              <w:t>C</w:t>
              <w:br/>
              <w:br/>
              <w:t>I</w:t>
              <w:br/>
              <w:br/>
              <w:t>O</w:t>
              <w:br/>
              <w:br/>
              <w:t>N</w:t>
              <w:br/>
            </w:r>
          </w:p>
        </w:tc>
      </w:tr>
      <w:tr>
        <w:tc>
          <w:tcPr>
            <w:tcW w:type="dxa" w:w="1728"/>
            <w:shd w:val="clear" w:color="auto" w:fill="EDEDE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sz w:val="20"/>
              </w:rPr>
              <w:t>DESARROLLO</w:t>
            </w:r>
          </w:p>
          <w:p>
            <w:pPr>
              <w:spacing w:before="80"/>
            </w:pPr>
            <w:r>
              <w:rPr>
                <w:color w:val="475569"/>
                <w:sz w:val="16"/>
              </w:rPr>
              <w:t>Gestion y Acompanamiento del Desarrollo de las Competencias</w:t>
              <w:br/>
              <w:t>(Procesos didacticos del Area)</w:t>
            </w:r>
          </w:p>
          <w:p>
            <w:pPr>
              <w:spacing w:before="120"/>
            </w:pPr>
            <w:r>
              <w:rPr>
                <w:b/>
                <w:color w:val="C0392B"/>
                <w:sz w:val="17"/>
              </w:rPr>
              <w:t>⏱ TIEMPO: 60 min</w:t>
            </w:r>
          </w:p>
        </w:tc>
        <w:tc>
          <w:tcPr>
            <w:tcW w:type="dxa" w:w="504"/>
            <w:shd w:val="clear" w:color="auto" w:fill="FBE5D5"/>
            <w:tcMar>
              <w:top w:w="120" w:type="dxa"/>
              <w:bottom w:w="120" w:type="dxa"/>
              <w:left w:w="40" w:type="dxa"/>
              <w:right w:w="40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b/>
                <w:color w:val="783C14"/>
                <w:sz w:val="17"/>
              </w:rPr>
              <w:br/>
              <w:t>M</w:t>
              <w:br/>
              <w:br/>
              <w:t>O</w:t>
              <w:br/>
              <w:br/>
              <w:t>T</w:t>
              <w:br/>
              <w:br/>
              <w:t>I</w:t>
              <w:br/>
              <w:br/>
              <w:t>V</w:t>
              <w:br/>
              <w:br/>
              <w:t>A</w:t>
              <w:br/>
              <w:br/>
              <w:t>C</w:t>
              <w:br/>
              <w:br/>
              <w:t>I</w:t>
              <w:br/>
              <w:br/>
              <w:t>O</w:t>
              <w:br/>
              <w:br/>
              <w:t>N</w:t>
              <w:br/>
            </w:r>
          </w:p>
        </w:tc>
        <w:tc>
          <w:tcPr>
            <w:tcW w:type="dxa" w:w="701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/>
          </w:p>
          <w:p>
            <w:pPr>
              <w:spacing w:after="80"/>
            </w:pPr>
            <w:r>
              <w:rPr>
                <w:b/>
                <w:color w:val="C0392B"/>
                <w:sz w:val="19"/>
              </w:rPr>
              <w:t>COMPRENSION DEL PROBLEMA</w:t>
            </w:r>
          </w:p>
          <w:p>
            <w:pPr>
              <w:spacing w:after="80" w:line="276" w:lineRule="auto"/>
            </w:pPr>
            <w:r>
              <w:rPr>
                <w:sz w:val="19"/>
              </w:rPr>
              <w:t>Los estudiantes leen la situacion.</w:t>
            </w:r>
          </w:p>
        </w:tc>
        <w:tc>
          <w:tcPr>
            <w:tcW w:type="dxa" w:w="504"/>
            <w:shd w:val="clear" w:color="auto" w:fill="FBE5D5"/>
            <w:tcMar>
              <w:top w:w="120" w:type="dxa"/>
              <w:bottom w:w="120" w:type="dxa"/>
              <w:left w:w="40" w:type="dxa"/>
              <w:right w:w="40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b/>
                <w:color w:val="783C14"/>
                <w:sz w:val="17"/>
              </w:rPr>
              <w:br/>
              <w:t>E</w:t>
              <w:br/>
              <w:br/>
              <w:t>V</w:t>
              <w:br/>
              <w:br/>
              <w:t>A</w:t>
              <w:br/>
              <w:br/>
              <w:t>L</w:t>
              <w:br/>
              <w:br/>
              <w:t>U</w:t>
              <w:br/>
              <w:br/>
              <w:t>A</w:t>
              <w:br/>
              <w:br/>
              <w:t>C</w:t>
              <w:br/>
              <w:br/>
              <w:t>I</w:t>
              <w:br/>
              <w:br/>
              <w:t>O</w:t>
              <w:br/>
              <w:br/>
              <w:t>N</w:t>
              <w:br/>
            </w:r>
          </w:p>
        </w:tc>
      </w:tr>
      <w:tr>
        <w:tc>
          <w:tcPr>
            <w:tcW w:type="dxa" w:w="1728"/>
            <w:shd w:val="clear" w:color="auto" w:fill="EDEDE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sz w:val="20"/>
              </w:rPr>
              <w:t>CIERRE</w:t>
            </w:r>
          </w:p>
          <w:p>
            <w:pPr>
              <w:spacing w:before="80"/>
            </w:pPr>
            <w:r>
              <w:rPr>
                <w:color w:val="475569"/>
                <w:sz w:val="16"/>
              </w:rPr>
              <w:t>Evaluacion (Reflexion sobre lo aprendido)</w:t>
              <w:br/>
              <w:t>Acciones de reforzamiento o indagacion</w:t>
            </w:r>
          </w:p>
          <w:p>
            <w:pPr>
              <w:spacing w:before="120"/>
            </w:pPr>
            <w:r>
              <w:rPr>
                <w:b/>
                <w:color w:val="C0392B"/>
                <w:sz w:val="17"/>
              </w:rPr>
              <w:t>⏱ TIEMPO: 15 min</w:t>
            </w:r>
          </w:p>
        </w:tc>
        <w:tc>
          <w:tcPr>
            <w:tcW w:type="dxa" w:w="504"/>
            <w:shd w:val="clear" w:color="auto" w:fill="FBE5D5"/>
            <w:tcMar>
              <w:top w:w="120" w:type="dxa"/>
              <w:bottom w:w="120" w:type="dxa"/>
              <w:left w:w="40" w:type="dxa"/>
              <w:right w:w="40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b/>
                <w:color w:val="783C14"/>
                <w:sz w:val="17"/>
              </w:rPr>
              <w:br/>
              <w:t>M</w:t>
              <w:br/>
              <w:br/>
              <w:t>O</w:t>
              <w:br/>
              <w:br/>
              <w:t>T</w:t>
              <w:br/>
              <w:br/>
              <w:t>I</w:t>
              <w:br/>
              <w:br/>
              <w:t>V</w:t>
              <w:br/>
              <w:br/>
              <w:t>A</w:t>
              <w:br/>
              <w:br/>
              <w:t>C</w:t>
              <w:br/>
              <w:br/>
              <w:t>I</w:t>
              <w:br/>
              <w:br/>
              <w:t>O</w:t>
              <w:br/>
              <w:br/>
              <w:t>N</w:t>
              <w:br/>
            </w:r>
          </w:p>
        </w:tc>
        <w:tc>
          <w:tcPr>
            <w:tcW w:type="dxa" w:w="701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/>
          </w:p>
          <w:p>
            <w:r>
              <w:rPr>
                <w:b/>
                <w:sz w:val="19"/>
              </w:rPr>
              <w:t>Metacognicion:</w:t>
            </w:r>
          </w:p>
          <w:p>
            <w:pPr>
              <w:pStyle w:val="ListBullet"/>
              <w:spacing w:after="40"/>
            </w:pPr>
            <w:r>
              <w:rPr>
                <w:sz w:val="19"/>
              </w:rPr>
              <w:t>Que aprendimos?</w:t>
            </w:r>
          </w:p>
          <w:p>
            <w:pPr>
              <w:spacing w:before="80"/>
            </w:pPr>
            <w:r>
              <w:rPr>
                <w:b/>
                <w:sz w:val="19"/>
              </w:rPr>
              <w:t>Evaluacion formativa:</w:t>
            </w:r>
          </w:p>
          <w:p>
            <w:pPr>
              <w:pStyle w:val="ListBullet"/>
              <w:spacing w:after="40"/>
            </w:pPr>
            <w:r>
              <w:rPr>
                <w:sz w:val="19"/>
              </w:rPr>
              <w:t>Revisión de fichas.</w:t>
            </w:r>
          </w:p>
          <w:p>
            <w:pPr>
              <w:spacing w:before="80"/>
            </w:pPr>
            <w:r>
              <w:rPr>
                <w:b/>
                <w:sz w:val="19"/>
              </w:rPr>
              <w:t>Extension para casa:</w:t>
            </w:r>
          </w:p>
          <w:p>
            <w:pPr>
              <w:pStyle w:val="ListBullet"/>
              <w:spacing w:after="40"/>
            </w:pPr>
            <w:r>
              <w:rPr>
                <w:sz w:val="19"/>
              </w:rPr>
              <w:t>Resolver la pag 45.</w:t>
            </w:r>
          </w:p>
        </w:tc>
        <w:tc>
          <w:tcPr>
            <w:tcW w:type="dxa" w:w="504"/>
            <w:shd w:val="clear" w:color="auto" w:fill="FBE5D5"/>
            <w:tcMar>
              <w:top w:w="120" w:type="dxa"/>
              <w:bottom w:w="120" w:type="dxa"/>
              <w:left w:w="40" w:type="dxa"/>
              <w:right w:w="40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b/>
                <w:color w:val="783C14"/>
                <w:sz w:val="17"/>
              </w:rPr>
              <w:br/>
              <w:t>E</w:t>
              <w:br/>
              <w:br/>
              <w:t>V</w:t>
              <w:br/>
              <w:br/>
              <w:t>A</w:t>
              <w:br/>
              <w:br/>
              <w:t>L</w:t>
              <w:br/>
              <w:br/>
              <w:t>U</w:t>
              <w:br/>
              <w:br/>
              <w:t>A</w:t>
              <w:br/>
              <w:br/>
              <w:t>C</w:t>
              <w:br/>
              <w:br/>
              <w:t>I</w:t>
              <w:br/>
              <w:br/>
              <w:t>O</w:t>
              <w:br/>
              <w:br/>
              <w:t>N</w:t>
              <w:br/>
            </w:r>
          </w:p>
        </w:tc>
      </w:tr>
    </w:tbl>
    <w:p>
      <w:pPr>
        <w:spacing w:before="8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19"/>
              </w:rPr>
              <w:t>Lic. Juan Alberto Quispe</w:t>
              <w:br/>
            </w:r>
            <w:r>
              <w:rPr>
                <w:sz w:val="17"/>
              </w:rPr>
              <w:t>Docente de la Sesion</w:t>
            </w:r>
          </w:p>
        </w:tc>
        <w:tc>
          <w:tcPr>
            <w:tcW w:type="dxa" w:w="487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19"/>
              </w:rPr>
              <w:t>Mag. Carlos Lopez Estrada</w:t>
              <w:br/>
            </w:r>
            <w:r>
              <w:rPr>
                <w:sz w:val="17"/>
              </w:rPr>
              <w:t>Director de la I.E.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144" w:right="108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008"/>
      <w:gridCol w:w="576"/>
      <w:gridCol w:w="576"/>
      <w:gridCol w:w="6440"/>
      <w:gridCol w:w="1080"/>
    </w:tblGrid>
    <w:tr>
      <w:tc>
        <w:tcPr>
          <w:tcW w:type="dxa" w:w="1008"/>
          <w:tcMar>
            <w:top w:w="40" w:type="dxa"/>
            <w:bottom w:w="40" w:type="dxa"/>
            <w:left w:w="60" w:type="dxa"/>
            <w:right w:w="6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spacing w:before="0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76"/>
          <w:tcMar>
            <w:top w:w="40" w:type="dxa"/>
            <w:bottom w:w="40" w:type="dxa"/>
            <w:left w:w="60" w:type="dxa"/>
            <w:right w:w="6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  <w:shd w:val="clear" w:color="auto" w:fill="C00000"/>
          <w:tcMar>
            <w:top w:w="60" w:type="dxa"/>
            <w:bottom w:w="60" w:type="dxa"/>
            <w:left w:w="8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b/>
              <w:color w:val="FFFFFF"/>
              <w:sz w:val="14"/>
            </w:rPr>
            <w:t>P</w:t>
            <w:br/>
            <w:t>E</w:t>
            <w:br/>
            <w:t>R</w:t>
            <w:br/>
            <w:t>Ú</w:t>
          </w:r>
        </w:p>
      </w:tc>
      <w:tc>
        <w:tcPr>
          <w:tcW w:type="dxa" w:w="576"/>
          <w:tcMar>
            <w:top w:w="40" w:type="dxa"/>
            <w:bottom w:w="40" w:type="dxa"/>
            <w:left w:w="60" w:type="dxa"/>
            <w:right w:w="6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spacing w:before="80" w:after="0"/>
            <w:jc w:val="center"/>
          </w:pPr>
          <w:r>
            <w:rPr>
              <w:b/>
              <w:color w:val="505050"/>
              <w:sz w:val="13"/>
            </w:rPr>
            <w:t>D</w:t>
            <w:br/>
            <w:t>R</w:t>
            <w:br/>
            <w:t>E</w:t>
          </w:r>
        </w:p>
        <w:p>
          <w:pPr>
            <w:spacing w:before="40" w:after="80"/>
            <w:jc w:val="center"/>
          </w:pPr>
          <w:r>
            <w:rPr>
              <w:sz w:val="11"/>
            </w:rPr>
            <w:t>Ucayali</w:t>
          </w:r>
        </w:p>
        <w:p>
          <w:pPr>
            <w:spacing w:before="0" w:after="0"/>
          </w:pPr>
          <w:r>
            <w:rPr>
              <w:sz w:val="10"/>
            </w:rPr>
            <w:t>─────</w:t>
          </w:r>
        </w:p>
        <w:p>
          <w:pPr>
            <w:spacing w:before="40" w:after="0"/>
            <w:jc w:val="center"/>
          </w:pPr>
          <w:r>
            <w:rPr>
              <w:b/>
              <w:color w:val="505050"/>
              <w:sz w:val="13"/>
            </w:rPr>
            <w:t>U</w:t>
            <w:br/>
            <w:t>G</w:t>
            <w:br/>
            <w:t>E</w:t>
            <w:br/>
            <w:t>L</w:t>
          </w:r>
        </w:p>
        <w:p>
          <w:pPr>
            <w:spacing w:before="40"/>
            <w:jc w:val="center"/>
          </w:pPr>
          <w:r>
            <w:rPr>
              <w:sz w:val="11"/>
            </w:rPr>
            <w:t>Padre Abad</w:t>
          </w:r>
        </w:p>
      </w:tc>
      <w:tc>
        <w:tcPr>
          <w:tcW w:type="dxa" w:w="6440"/>
          <w:tcMar>
            <w:top w:w="40" w:type="dxa"/>
            <w:bottom w:w="40" w:type="dxa"/>
            <w:left w:w="60" w:type="dxa"/>
            <w:right w:w="6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60" w:type="dxa"/>
            <w:bottom w:w="60" w:type="dxa"/>
            <w:left w:w="140" w:type="dxa"/>
            <w:right w:w="140" w:type="dxa"/>
          </w:tcMar>
        </w:tcPr>
        <w:p>
          <w:pPr>
            <w:spacing w:before="40" w:after="40"/>
            <w:jc w:val="center"/>
          </w:pPr>
          <w:r>
            <w:rPr>
              <w:i/>
              <w:color w:val="646464"/>
              <w:sz w:val="12"/>
            </w:rPr>
            <w:t>"Decenio de la Igualdad de Oportunidades para mujeres y hombres"</w:t>
          </w:r>
        </w:p>
        <w:p>
          <w:pPr>
            <w:spacing w:before="0" w:after="80"/>
            <w:jc w:val="center"/>
          </w:pPr>
          <w:r>
            <w:rPr>
              <w:i/>
              <w:color w:val="646464"/>
              <w:sz w:val="12"/>
            </w:rPr>
            <w:t>"Año de la unidad, la paz y el desarrollo"</w:t>
          </w:r>
        </w:p>
        <w:p>
          <w:pPr>
            <w:spacing w:before="40"/>
            <w:jc w:val="center"/>
          </w:pPr>
          <w:r>
            <w:rPr>
              <w:b/>
              <w:color w:val="1E293B"/>
              <w:sz w:val="16"/>
            </w:rPr>
            <w:t>IE MONTE ALEGRE JEC - UCAYALI - PADRE ABAD</w:t>
          </w:r>
        </w:p>
      </w:tc>
      <w:tc>
        <w:tcPr>
          <w:tcW w:type="dxa" w:w="1080"/>
          <w:tcMar>
            <w:top w:w="40" w:type="dxa"/>
            <w:bottom w:w="40" w:type="dxa"/>
            <w:left w:w="60" w:type="dxa"/>
            <w:right w:w="6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40" w:type="dxa"/>
            <w:bottom w:w="40" w:type="dxa"/>
            <w:left w:w="60" w:type="dxa"/>
            <w:right w:w="60" w:type="dxa"/>
          </w:tcMar>
        </w:tcPr>
        <w:p>
          <w:pPr>
            <w:spacing w:before="0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60" w:after="120"/>
      <w:pBrd>
        <w:bottom w:val="single" w:sz="12" w:space="1" w:color="334155"/>
      </w:pBrd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