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5C8B"/>
          <w:sz w:val="52"/>
          <w:szCs w:val="52"/>
        </w:rPr>
        <w:t xml:space="preserve">DockSec</w:t>
      </w:r>
    </w:p>
    <w:p>
      <w:pPr>
        <w:pBdr>
          <w:bottom w:val="single" w:color="1F5C8B" w:sz="8" w:space="6"/>
        </w:pBdr>
        <w:spacing w:before="0" w:after="480"/>
        <w:jc w:val="center"/>
      </w:pPr>
      <w:r>
        <w:rPr>
          <w:rFonts w:ascii="Arial" w:cs="Arial" w:eastAsia="Arial" w:hAnsi="Arial"/>
          <w:color w:val="444444"/>
          <w:sz w:val="32"/>
          <w:szCs w:val="32"/>
        </w:rPr>
        <w:t xml:space="preserve">Architecture Document</w:t>
      </w:r>
    </w:p>
    <w:p>
      <w:pPr>
        <w:spacing w:before="80" w:after="80"/>
      </w:pPr>
      <w:r>
        <w:t xml:space="preserve"/>
      </w:r>
    </w:p>
    <w:p>
      <w:pPr>
        <w:pStyle w:val="Heading1"/>
        <w:pBdr>
          <w:bottom w:val="single" w:color="1F5C8B" w:sz="6" w:space="4"/>
        </w:pBdr>
        <w:spacing w:before="360" w:after="120"/>
      </w:pPr>
      <w:r>
        <w:rPr>
          <w:rFonts w:ascii="Arial" w:cs="Arial" w:eastAsia="Arial" w:hAnsi="Arial"/>
          <w:b/>
          <w:bCs/>
          <w:color w:val="1F5C8B"/>
          <w:sz w:val="32"/>
          <w:szCs w:val="32"/>
        </w:rPr>
        <w:t xml:space="preserve">1. Selected Architecture: Modular Monolith</w:t>
      </w:r>
    </w:p>
    <w:p>
      <w:pPr>
        <w:spacing w:before="60" w:after="60"/>
      </w:pPr>
      <w:r>
        <w:rPr>
          <w:rFonts w:ascii="Arial" w:cs="Arial" w:eastAsia="Arial" w:hAnsi="Arial"/>
          <w:sz w:val="22"/>
          <w:szCs w:val="22"/>
        </w:rPr>
        <w:t xml:space="preserve">For the DockSec project, we have implemented a Modular Monolithic Architecture.</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1.1 Detailed Explanation</w:t>
      </w:r>
    </w:p>
    <w:p>
      <w:pPr>
        <w:spacing w:before="60" w:after="60"/>
      </w:pPr>
      <w:r>
        <w:rPr>
          <w:rFonts w:ascii="Arial" w:cs="Arial" w:eastAsia="Arial" w:hAnsi="Arial"/>
          <w:sz w:val="22"/>
          <w:szCs w:val="22"/>
        </w:rPr>
        <w:t xml:space="preserve">A Monolithic Architecture is a unified model where all components of the application are interconnected and interdependent, rather than being loosely coupled as is the case with microservices. In DockSec, this means that the entire scanning logic — from image retrieval to report generation — resides within a single codebase and runs as a single process.</w:t>
      </w:r>
    </w:p>
    <w:p>
      <w:pPr>
        <w:spacing w:before="80" w:after="80"/>
      </w:pPr>
      <w:r>
        <w:t xml:space="preserve"/>
      </w:r>
    </w:p>
    <w:p>
      <w:pPr>
        <w:spacing w:before="60" w:after="60"/>
      </w:pPr>
      <w:r>
        <w:rPr>
          <w:rFonts w:ascii="Arial" w:cs="Arial" w:eastAsia="Arial" w:hAnsi="Arial"/>
          <w:sz w:val="22"/>
          <w:szCs w:val="22"/>
        </w:rPr>
        <w:t xml:space="preserve">However, DockSec specifically employs a Modular Monolith approach. This means that while the application is a single deployment unit, its internal logic is strictly organized into independent modules (packages) with well-defined interfaces and responsibilities.</w:t>
      </w:r>
    </w:p>
    <w:p>
      <w:pPr>
        <w:spacing w:before="80" w:after="80"/>
      </w:pPr>
      <w:r>
        <w:t xml:space="preserve"/>
      </w:r>
    </w:p>
    <w:p>
      <w:pPr>
        <w:spacing w:before="100" w:after="60"/>
      </w:pPr>
      <w:r>
        <w:rPr>
          <w:rFonts w:ascii="Arial" w:cs="Arial" w:eastAsia="Arial" w:hAnsi="Arial"/>
          <w:b/>
          <w:bCs/>
          <w:sz w:val="22"/>
          <w:szCs w:val="22"/>
        </w:rPr>
        <w:t xml:space="preserve">Key Characteristics in DockSec:</w:t>
      </w:r>
    </w:p>
    <w:p>
      <w:pPr>
        <w:pStyle w:val="ListParagraph"/>
        <w:numPr>
          <w:ilvl w:val="0"/>
          <w:numId w:val="2"/>
        </w:numPr>
        <w:spacing w:before="40" w:after="40"/>
      </w:pPr>
      <w:r>
        <w:rPr>
          <w:rFonts w:ascii="Arial" w:cs="Arial" w:eastAsia="Arial" w:hAnsi="Arial"/>
          <w:b/>
          <w:bCs/>
          <w:sz w:val="22"/>
          <w:szCs w:val="22"/>
        </w:rPr>
        <w:t xml:space="preserve">Single Process: </w:t>
      </w:r>
      <w:r>
        <w:rPr>
          <w:rFonts w:ascii="Arial" w:cs="Arial" w:eastAsia="Arial" w:hAnsi="Arial"/>
          <w:sz w:val="22"/>
          <w:szCs w:val="22"/>
        </w:rPr>
        <w:t xml:space="preserve">The scanner runs as a single Python execution.</w:t>
      </w:r>
    </w:p>
    <w:p>
      <w:pPr>
        <w:pStyle w:val="ListParagraph"/>
        <w:numPr>
          <w:ilvl w:val="0"/>
          <w:numId w:val="2"/>
        </w:numPr>
        <w:spacing w:before="40" w:after="40"/>
      </w:pPr>
      <w:r>
        <w:rPr>
          <w:rFonts w:ascii="Arial" w:cs="Arial" w:eastAsia="Arial" w:hAnsi="Arial"/>
          <w:b/>
          <w:bCs/>
          <w:sz w:val="22"/>
          <w:szCs w:val="22"/>
        </w:rPr>
        <w:t xml:space="preserve">Shared Data Structures: </w:t>
      </w:r>
      <w:r>
        <w:rPr>
          <w:rFonts w:ascii="Arial" w:cs="Arial" w:eastAsia="Arial" w:hAnsi="Arial"/>
          <w:sz w:val="22"/>
          <w:szCs w:val="22"/>
        </w:rPr>
        <w:t xml:space="preserve">Information about packages and vulnerabilities is passed between modules in memory.</w:t>
      </w:r>
    </w:p>
    <w:p>
      <w:pPr>
        <w:pStyle w:val="ListParagraph"/>
        <w:numPr>
          <w:ilvl w:val="0"/>
          <w:numId w:val="2"/>
        </w:numPr>
        <w:spacing w:before="40" w:after="40"/>
      </w:pPr>
      <w:r>
        <w:rPr>
          <w:rFonts w:ascii="Arial" w:cs="Arial" w:eastAsia="Arial" w:hAnsi="Arial"/>
          <w:b/>
          <w:bCs/>
          <w:sz w:val="22"/>
          <w:szCs w:val="22"/>
        </w:rPr>
        <w:t xml:space="preserve">Separation of Concerns: </w:t>
      </w:r>
      <w:r>
        <w:rPr>
          <w:rFonts w:ascii="Arial" w:cs="Arial" w:eastAsia="Arial" w:hAnsi="Arial"/>
          <w:sz w:val="22"/>
          <w:szCs w:val="22"/>
        </w:rPr>
        <w:t xml:space="preserve">Each step of the scanning process (OS detection, package extraction, etc.) is isolated in its own script within the scanner/ directory.</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1.2 Design Rationale</w:t>
      </w:r>
    </w:p>
    <w:p>
      <w:pPr>
        <w:spacing w:before="60" w:after="60"/>
      </w:pPr>
      <w:r>
        <w:rPr>
          <w:rFonts w:ascii="Arial" w:cs="Arial" w:eastAsia="Arial" w:hAnsi="Arial"/>
          <w:sz w:val="22"/>
          <w:szCs w:val="22"/>
        </w:rPr>
        <w:t xml:space="preserve">The choice of a Modular Monolith was driven by several factors:</w:t>
      </w:r>
    </w:p>
    <w:p>
      <w:pPr>
        <w:pStyle w:val="ListParagraph"/>
        <w:numPr>
          <w:ilvl w:val="0"/>
          <w:numId w:val="3"/>
        </w:numPr>
        <w:spacing w:before="40" w:after="40"/>
      </w:pPr>
      <w:r>
        <w:rPr>
          <w:rFonts w:ascii="Arial" w:cs="Arial" w:eastAsia="Arial" w:hAnsi="Arial"/>
          <w:b/>
          <w:bCs/>
          <w:sz w:val="22"/>
          <w:szCs w:val="22"/>
        </w:rPr>
        <w:t xml:space="preserve">Simplicity &amp; Speed: </w:t>
      </w:r>
      <w:r>
        <w:rPr>
          <w:rFonts w:ascii="Arial" w:cs="Arial" w:eastAsia="Arial" w:hAnsi="Arial"/>
          <w:sz w:val="22"/>
          <w:szCs w:val="22"/>
        </w:rPr>
        <w:t xml:space="preserve">For a CLI tool, a monolith eliminates the overhead of network communication and service discovery required by microservices.</w:t>
      </w:r>
    </w:p>
    <w:p>
      <w:pPr>
        <w:pStyle w:val="ListParagraph"/>
        <w:numPr>
          <w:ilvl w:val="0"/>
          <w:numId w:val="3"/>
        </w:numPr>
        <w:spacing w:before="40" w:after="40"/>
      </w:pPr>
      <w:r>
        <w:rPr>
          <w:rFonts w:ascii="Arial" w:cs="Arial" w:eastAsia="Arial" w:hAnsi="Arial"/>
          <w:b/>
          <w:bCs/>
          <w:sz w:val="22"/>
          <w:szCs w:val="22"/>
        </w:rPr>
        <w:t xml:space="preserve">Deployment Ease: </w:t>
      </w:r>
      <w:r>
        <w:rPr>
          <w:rFonts w:ascii="Arial" w:cs="Arial" w:eastAsia="Arial" w:hAnsi="Arial"/>
          <w:sz w:val="22"/>
          <w:szCs w:val="22"/>
        </w:rPr>
        <w:t xml:space="preserve">Users only need to install a single package and its dependencies to start scanning images.</w:t>
      </w:r>
    </w:p>
    <w:p>
      <w:pPr>
        <w:pStyle w:val="ListParagraph"/>
        <w:numPr>
          <w:ilvl w:val="0"/>
          <w:numId w:val="3"/>
        </w:numPr>
        <w:spacing w:before="40" w:after="40"/>
      </w:pPr>
      <w:r>
        <w:rPr>
          <w:rFonts w:ascii="Arial" w:cs="Arial" w:eastAsia="Arial" w:hAnsi="Arial"/>
          <w:b/>
          <w:bCs/>
          <w:sz w:val="22"/>
          <w:szCs w:val="22"/>
        </w:rPr>
        <w:t xml:space="preserve">Data Consistency: </w:t>
      </w:r>
      <w:r>
        <w:rPr>
          <w:rFonts w:ascii="Arial" w:cs="Arial" w:eastAsia="Arial" w:hAnsi="Arial"/>
          <w:sz w:val="22"/>
          <w:szCs w:val="22"/>
        </w:rPr>
        <w:t xml:space="preserve">Passing data in-memory ensures high performance and reduces the complexity of synchronization.</w:t>
      </w:r>
    </w:p>
    <w:p>
      <w:pPr>
        <w:pStyle w:val="ListParagraph"/>
        <w:numPr>
          <w:ilvl w:val="0"/>
          <w:numId w:val="3"/>
        </w:numPr>
        <w:spacing w:before="40" w:after="40"/>
      </w:pPr>
      <w:r>
        <w:rPr>
          <w:rFonts w:ascii="Arial" w:cs="Arial" w:eastAsia="Arial" w:hAnsi="Arial"/>
          <w:b/>
          <w:bCs/>
          <w:sz w:val="22"/>
          <w:szCs w:val="22"/>
        </w:rPr>
        <w:t xml:space="preserve">Learning Path: </w:t>
      </w:r>
      <w:r>
        <w:rPr>
          <w:rFonts w:ascii="Arial" w:cs="Arial" w:eastAsia="Arial" w:hAnsi="Arial"/>
          <w:sz w:val="22"/>
          <w:szCs w:val="22"/>
        </w:rPr>
        <w:t xml:space="preserve">It provides a clear, understandable structure for students to learn the fundamentals of container security without being bogged down by distributed systems complexity.</w:t>
      </w:r>
    </w:p>
    <w:p>
      <w:pPr>
        <w:spacing w:before="80" w:after="80"/>
      </w:pPr>
      <w:r>
        <w:t xml:space="preserve"/>
      </w:r>
    </w:p>
    <w:p>
      <w:pPr>
        <w:spacing w:before="80" w:after="80"/>
      </w:pPr>
      <w:r>
        <w:t xml:space="preserve"/>
      </w:r>
    </w:p>
    <w:p>
      <w:pPr>
        <w:pStyle w:val="Heading1"/>
        <w:pBdr>
          <w:bottom w:val="single" w:color="1F5C8B" w:sz="6" w:space="4"/>
        </w:pBdr>
        <w:spacing w:before="360" w:after="120"/>
      </w:pPr>
      <w:r>
        <w:rPr>
          <w:rFonts w:ascii="Arial" w:cs="Arial" w:eastAsia="Arial" w:hAnsi="Arial"/>
          <w:b/>
          <w:bCs/>
          <w:color w:val="1F5C8B"/>
          <w:sz w:val="32"/>
          <w:szCs w:val="32"/>
        </w:rPr>
        <w:t xml:space="preserve">2. Component Descriptions</w:t>
      </w:r>
    </w:p>
    <w:p>
      <w:pPr>
        <w:spacing w:before="60" w:after="60"/>
      </w:pPr>
      <w:r>
        <w:rPr>
          <w:rFonts w:ascii="Arial" w:cs="Arial" w:eastAsia="Arial" w:hAnsi="Arial"/>
          <w:sz w:val="22"/>
          <w:szCs w:val="22"/>
        </w:rPr>
        <w:t xml:space="preserve">The table below describes each major component of the DockSec system and its responsibility within the scanning pipeline.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w:t>
            </w:r>
          </w:p>
        </w:tc>
        <w:tc>
          <w:tcPr>
            <w:tcW w:type="dxa" w:w="636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Responsibility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bCs/>
                <w:sz w:val="20"/>
                <w:szCs w:val="20"/>
              </w:rPr>
              <w:t xml:space="preserve">Main CLI (main.py)</w:t>
            </w:r>
          </w:p>
        </w:tc>
        <w:tc>
          <w:tcPr>
            <w:tcW w:type="dxa" w:w="6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Orchestrates the entire scan process and handles user input.</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bCs/>
                <w:sz w:val="20"/>
                <w:szCs w:val="20"/>
              </w:rPr>
              <w:t xml:space="preserve">Image Loader</w:t>
            </w:r>
          </w:p>
        </w:tc>
        <w:tc>
          <w:tcPr>
            <w:tcW w:type="dxa" w:w="636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Interfaces with the Docker Engine to check its status and pull target images.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bCs/>
                <w:sz w:val="20"/>
                <w:szCs w:val="20"/>
              </w:rPr>
              <w:t xml:space="preserve">OS Detector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Identifies the base OS (e.g., Alpine, Debian) to determine which package manager to query.</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bCs/>
                <w:sz w:val="20"/>
                <w:szCs w:val="20"/>
              </w:rPr>
              <w:t xml:space="preserve">Package Extractor</w:t>
            </w:r>
          </w:p>
        </w:tc>
        <w:tc>
          <w:tcPr>
            <w:tcW w:type="dxa" w:w="636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Securely extracts installed package metadata from the image filesystem without executing it.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bCs/>
                <w:sz w:val="20"/>
                <w:szCs w:val="20"/>
              </w:rPr>
              <w:t xml:space="preserve">CVE Matcher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Compares extracted packages against a local vulnerability database.</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bCs/>
                <w:sz w:val="20"/>
                <w:szCs w:val="20"/>
              </w:rPr>
              <w:t xml:space="preserve">Risk Engine</w:t>
            </w:r>
          </w:p>
        </w:tc>
        <w:tc>
          <w:tcPr>
            <w:tcW w:type="dxa" w:w="636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Evaluates the severity of findings and calculates an overall risk score.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bCs/>
                <w:sz w:val="20"/>
                <w:szCs w:val="20"/>
              </w:rPr>
              <w:t xml:space="preserve">Reporter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Formats findings into human-readable (Markdown) and machine-readable (JSON) reports.</w:t>
            </w:r>
          </w:p>
        </w:tc>
      </w:tr>
    </w:tbl>
    <w:p>
      <w:pPr>
        <w:spacing w:before="80" w:after="80"/>
      </w:pPr>
      <w:r>
        <w:t xml:space="preserve"/>
      </w:r>
    </w:p>
    <w:p>
      <w:pPr>
        <w:spacing w:before="80" w:after="80"/>
      </w:pPr>
      <w:r>
        <w:t xml:space="preserve"/>
      </w:r>
    </w:p>
    <w:p>
      <w:pPr>
        <w:pStyle w:val="Heading1"/>
        <w:pBdr>
          <w:bottom w:val="single" w:color="1F5C8B" w:sz="6" w:space="4"/>
        </w:pBdr>
        <w:spacing w:before="360" w:after="120"/>
      </w:pPr>
      <w:r>
        <w:rPr>
          <w:rFonts w:ascii="Arial" w:cs="Arial" w:eastAsia="Arial" w:hAnsi="Arial"/>
          <w:b/>
          <w:bCs/>
          <w:color w:val="1F5C8B"/>
          <w:sz w:val="32"/>
          <w:szCs w:val="32"/>
        </w:rPr>
        <w:t xml:space="preserve">3. Security Model: Filesystem-Only Inspection</w:t>
      </w:r>
    </w:p>
    <w:p>
      <w:pPr>
        <w:spacing w:before="60" w:after="60"/>
      </w:pPr>
      <w:r>
        <w:rPr>
          <w:rFonts w:ascii="Arial" w:cs="Arial" w:eastAsia="Arial" w:hAnsi="Arial"/>
          <w:sz w:val="22"/>
          <w:szCs w:val="22"/>
        </w:rPr>
        <w:t xml:space="preserve">A critical architectural decision in DockSec is the Secure Execution Model. Unlike some scanners that might run a container to query its packages, DockSec uses a filesystem-only approach:</w:t>
      </w:r>
    </w:p>
    <w:p>
      <w:pPr>
        <w:spacing w:before="80" w:after="80"/>
      </w:pPr>
      <w:r>
        <w:t xml:space="preserve"/>
      </w:r>
    </w:p>
    <w:p>
      <w:pPr>
        <w:pStyle w:val="ListParagraph"/>
        <w:numPr>
          <w:ilvl w:val="0"/>
          <w:numId w:val="3"/>
        </w:numPr>
        <w:spacing w:before="40" w:after="40"/>
      </w:pPr>
      <w:r>
        <w:rPr>
          <w:rFonts w:ascii="Arial" w:cs="Arial" w:eastAsia="Arial" w:hAnsi="Arial"/>
          <w:b/>
          <w:bCs/>
          <w:sz w:val="22"/>
          <w:szCs w:val="22"/>
        </w:rPr>
        <w:t xml:space="preserve">Stopped State: </w:t>
      </w:r>
      <w:r>
        <w:rPr>
          <w:rFonts w:ascii="Arial" w:cs="Arial" w:eastAsia="Arial" w:hAnsi="Arial"/>
          <w:sz w:val="22"/>
          <w:szCs w:val="22"/>
        </w:rPr>
        <w:t xml:space="preserve">Containers are created but never started (docker create).</w:t>
      </w:r>
    </w:p>
    <w:p>
      <w:pPr>
        <w:pStyle w:val="ListParagraph"/>
        <w:numPr>
          <w:ilvl w:val="0"/>
          <w:numId w:val="3"/>
        </w:numPr>
        <w:spacing w:before="40" w:after="40"/>
      </w:pPr>
      <w:r>
        <w:rPr>
          <w:rFonts w:ascii="Arial" w:cs="Arial" w:eastAsia="Arial" w:hAnsi="Arial"/>
          <w:b/>
          <w:bCs/>
          <w:sz w:val="22"/>
          <w:szCs w:val="22"/>
        </w:rPr>
        <w:t xml:space="preserve">Filesystem Export: </w:t>
      </w:r>
      <w:r>
        <w:rPr>
          <w:rFonts w:ascii="Arial" w:cs="Arial" w:eastAsia="Arial" w:hAnsi="Arial"/>
          <w:sz w:val="22"/>
          <w:szCs w:val="22"/>
        </w:rPr>
        <w:t xml:space="preserve">The container's filesystem is exported to a temporary tarball.</w:t>
      </w:r>
    </w:p>
    <w:p>
      <w:pPr>
        <w:pStyle w:val="ListParagraph"/>
        <w:numPr>
          <w:ilvl w:val="0"/>
          <w:numId w:val="3"/>
        </w:numPr>
        <w:spacing w:before="40" w:after="40"/>
      </w:pPr>
      <w:r>
        <w:rPr>
          <w:rFonts w:ascii="Arial" w:cs="Arial" w:eastAsia="Arial" w:hAnsi="Arial"/>
          <w:b/>
          <w:bCs/>
          <w:sz w:val="22"/>
          <w:szCs w:val="22"/>
        </w:rPr>
        <w:t xml:space="preserve">Passive Parsing: </w:t>
      </w:r>
      <w:r>
        <w:rPr>
          <w:rFonts w:ascii="Arial" w:cs="Arial" w:eastAsia="Arial" w:hAnsi="Arial"/>
          <w:sz w:val="22"/>
          <w:szCs w:val="22"/>
        </w:rPr>
        <w:t xml:space="preserve">Metadata files like /var/lib/dpkg/status are read directly from the tarball.</w:t>
      </w:r>
    </w:p>
    <w:p>
      <w:pPr>
        <w:spacing w:before="80" w:after="80"/>
      </w:pPr>
      <w:r>
        <w:t xml:space="preserve"/>
      </w:r>
    </w:p>
    <w:p>
      <w:pPr>
        <w:spacing w:before="60" w:after="60"/>
      </w:pPr>
      <w:r>
        <w:rPr>
          <w:rFonts w:ascii="Arial" w:cs="Arial" w:eastAsia="Arial" w:hAnsi="Arial"/>
          <w:sz w:val="22"/>
          <w:szCs w:val="22"/>
        </w:rPr>
        <w:t xml:space="preserve">This approach prevents the execution of malicious code that might be embedded in an untrusted Docker image.</w:t>
      </w:r>
    </w:p>
    <w:p>
      <w:pPr>
        <w:spacing w:before="80" w:after="80"/>
      </w:pPr>
      <w:r>
        <w:t xml:space="preserve"/>
      </w:r>
    </w:p>
    <w:p>
      <w:pPr>
        <w:spacing w:before="80" w:after="80"/>
      </w:pPr>
      <w:r>
        <w:t xml:space="preserve"/>
      </w:r>
    </w:p>
    <w:p>
      <w:pPr>
        <w:pStyle w:val="Heading1"/>
        <w:pBdr>
          <w:bottom w:val="single" w:color="1F5C8B" w:sz="6" w:space="4"/>
        </w:pBdr>
        <w:spacing w:before="360" w:after="120"/>
      </w:pPr>
      <w:r>
        <w:rPr>
          <w:rFonts w:ascii="Arial" w:cs="Arial" w:eastAsia="Arial" w:hAnsi="Arial"/>
          <w:b/>
          <w:bCs/>
          <w:color w:val="1F5C8B"/>
          <w:sz w:val="32"/>
          <w:szCs w:val="32"/>
        </w:rPr>
        <w:t xml:space="preserve">4. System Diagrams</w:t>
      </w:r>
    </w:p>
    <w:p>
      <w:pPr>
        <w:pStyle w:val="Heading2"/>
        <w:spacing w:before="280" w:after="100"/>
      </w:pPr>
      <w:r>
        <w:rPr>
          <w:rFonts w:ascii="Arial" w:cs="Arial" w:eastAsia="Arial" w:hAnsi="Arial"/>
          <w:b/>
          <w:bCs/>
          <w:color w:val="2E75B6"/>
          <w:sz w:val="26"/>
          <w:szCs w:val="26"/>
        </w:rPr>
        <w:t xml:space="preserve">Use Case Diagram</w:t>
      </w:r>
    </w:p>
    <w:p>
      <w:pPr>
        <w:spacing w:before="160" w:after="60"/>
        <w:jc w:val="center"/>
      </w:pPr>
      <w:r>
        <w:drawing>
          <wp:inline distT="0" distB="0" distL="0" distR="0">
            <wp:extent cx="59436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43600" cy="1743075"/>
                    </a:xfrm>
                    <a:prstGeom prst="rect">
                      <a:avLst/>
                    </a:prstGeom>
                  </pic:spPr>
                </pic:pic>
              </a:graphicData>
            </a:graphic>
          </wp:inline>
        </w:drawing>
      </w:r>
    </w:p>
    <w:p>
      <w:pPr>
        <w:spacing w:before="60" w:after="160"/>
        <w:jc w:val="center"/>
      </w:pPr>
      <w:r>
        <w:rPr>
          <w:rFonts w:ascii="Arial" w:cs="Arial" w:eastAsia="Arial" w:hAnsi="Arial"/>
          <w:color w:val="666666"/>
          <w:sz w:val="18"/>
          <w:szCs w:val="18"/>
        </w:rPr>
        <w:t xml:space="preserve">Figure 1 — Use Case Diagram</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Class Diagram</w:t>
      </w:r>
    </w:p>
    <w:p>
      <w:pPr>
        <w:spacing w:before="160" w:after="60"/>
        <w:jc w:val="center"/>
      </w:pPr>
      <w:r>
        <w:drawing>
          <wp:inline distT="0" distB="0" distL="0" distR="0">
            <wp:extent cx="59436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476375"/>
                    </a:xfrm>
                    <a:prstGeom prst="rect">
                      <a:avLst/>
                    </a:prstGeom>
                  </pic:spPr>
                </pic:pic>
              </a:graphicData>
            </a:graphic>
          </wp:inline>
        </w:drawing>
      </w:r>
    </w:p>
    <w:p>
      <w:pPr>
        <w:spacing w:before="60" w:after="160"/>
        <w:jc w:val="center"/>
      </w:pPr>
      <w:r>
        <w:rPr>
          <w:rFonts w:ascii="Arial" w:cs="Arial" w:eastAsia="Arial" w:hAnsi="Arial"/>
          <w:color w:val="666666"/>
          <w:sz w:val="18"/>
          <w:szCs w:val="18"/>
        </w:rPr>
        <w:t xml:space="preserve">Figure 2 — Class Diagram</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Data Flow Diagram (DFD)</w:t>
      </w:r>
    </w:p>
    <w:p>
      <w:pPr>
        <w:spacing w:before="160" w:after="60"/>
        <w:jc w:val="center"/>
      </w:pPr>
      <w:r>
        <w:drawing>
          <wp:inline distT="0" distB="0" distL="0" distR="0">
            <wp:extent cx="59436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571500"/>
                    </a:xfrm>
                    <a:prstGeom prst="rect">
                      <a:avLst/>
                    </a:prstGeom>
                  </pic:spPr>
                </pic:pic>
              </a:graphicData>
            </a:graphic>
          </wp:inline>
        </w:drawing>
      </w:r>
    </w:p>
    <w:p>
      <w:pPr>
        <w:spacing w:before="60" w:after="160"/>
        <w:jc w:val="center"/>
      </w:pPr>
      <w:r>
        <w:rPr>
          <w:rFonts w:ascii="Arial" w:cs="Arial" w:eastAsia="Arial" w:hAnsi="Arial"/>
          <w:color w:val="666666"/>
          <w:sz w:val="18"/>
          <w:szCs w:val="18"/>
        </w:rPr>
        <w:t xml:space="preserve">Figure 3 — Data Flow Diagram</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ER Diagram</w:t>
      </w:r>
    </w:p>
    <w:p>
      <w:pPr>
        <w:spacing w:before="160" w:after="60"/>
        <w:jc w:val="center"/>
      </w:pPr>
      <w:r>
        <w:drawing>
          <wp:inline distT="0" distB="0" distL="0" distR="0">
            <wp:extent cx="47625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5048250"/>
                    </a:xfrm>
                    <a:prstGeom prst="rect">
                      <a:avLst/>
                    </a:prstGeom>
                  </pic:spPr>
                </pic:pic>
              </a:graphicData>
            </a:graphic>
          </wp:inline>
        </w:drawing>
      </w:r>
    </w:p>
    <w:p>
      <w:pPr>
        <w:spacing w:before="60" w:after="160"/>
        <w:jc w:val="center"/>
      </w:pPr>
      <w:r>
        <w:rPr>
          <w:rFonts w:ascii="Arial" w:cs="Arial" w:eastAsia="Arial" w:hAnsi="Arial"/>
          <w:color w:val="666666"/>
          <w:sz w:val="18"/>
          <w:szCs w:val="18"/>
        </w:rPr>
        <w:t xml:space="preserve">Figure 4 — Entity Relationship Diagram</w:t>
      </w:r>
    </w:p>
    <w:p>
      <w:pPr>
        <w:spacing w:before="80" w:after="80"/>
      </w:pPr>
      <w:r>
        <w:t xml:space="preserve"/>
      </w:r>
    </w:p>
    <w:p>
      <w:pPr>
        <w:spacing w:before="80" w:after="80"/>
      </w:pPr>
      <w:r>
        <w:t xml:space="preserve"/>
      </w:r>
    </w:p>
    <w:p>
      <w:pPr>
        <w:pStyle w:val="Heading1"/>
        <w:pBdr>
          <w:bottom w:val="single" w:color="1F5C8B" w:sz="6" w:space="4"/>
        </w:pBdr>
        <w:spacing w:before="360" w:after="120"/>
      </w:pPr>
      <w:r>
        <w:rPr>
          <w:rFonts w:ascii="Arial" w:cs="Arial" w:eastAsia="Arial" w:hAnsi="Arial"/>
          <w:b/>
          <w:bCs/>
          <w:color w:val="1F5C8B"/>
          <w:sz w:val="32"/>
          <w:szCs w:val="32"/>
        </w:rPr>
        <w:t xml:space="preserve">5. Schema Diagrams</w:t>
      </w:r>
    </w:p>
    <w:p>
      <w:pPr>
        <w:pStyle w:val="Heading2"/>
        <w:spacing w:before="280" w:after="100"/>
      </w:pPr>
      <w:r>
        <w:rPr>
          <w:rFonts w:ascii="Arial" w:cs="Arial" w:eastAsia="Arial" w:hAnsi="Arial"/>
          <w:b/>
          <w:bCs/>
          <w:color w:val="2E75B6"/>
          <w:sz w:val="26"/>
          <w:szCs w:val="26"/>
        </w:rPr>
        <w:t xml:space="preserve">5.1 CVE Database Schema</w:t>
      </w:r>
    </w:p>
    <w:p>
      <w:pPr>
        <w:spacing w:before="60" w:after="60"/>
      </w:pPr>
      <w:r>
        <w:rPr>
          <w:rFonts w:ascii="Arial" w:cs="Arial" w:eastAsia="Arial" w:hAnsi="Arial"/>
          <w:sz w:val="22"/>
          <w:szCs w:val="22"/>
        </w:rPr>
        <w:t xml:space="preserve">Defines the structure of each vulnerability record stored in the local CVE dataset.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Column Name</w:t>
            </w:r>
          </w:p>
        </w:tc>
        <w:tc>
          <w:tcPr>
            <w:tcW w:type="dxa" w:w="160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Data Type</w:t>
            </w:r>
          </w:p>
        </w:tc>
        <w:tc>
          <w:tcPr>
            <w:tcW w:type="dxa" w:w="180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w:t>
            </w:r>
          </w:p>
        </w:tc>
        <w:tc>
          <w:tcPr>
            <w:tcW w:type="dxa" w:w="396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bCs/>
                <w:sz w:val="20"/>
                <w:szCs w:val="20"/>
              </w:rPr>
              <w:t xml:space="preserve">cve_id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String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Primary Key / Unique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Unique identifier for the vulnerability (e.g., CVE-2024-1234)</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bCs/>
                <w:sz w:val="20"/>
                <w:szCs w:val="20"/>
              </w:rPr>
              <w:t xml:space="preserve">severity</w:t>
            </w:r>
          </w:p>
        </w:tc>
        <w:tc>
          <w:tcPr>
            <w:tcW w:type="dxa" w:w="16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Enum</w:t>
            </w:r>
          </w:p>
        </w:tc>
        <w:tc>
          <w:tcPr>
            <w:tcW w:type="dxa" w:w="18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NOT NULL</w:t>
            </w:r>
          </w:p>
        </w:tc>
        <w:tc>
          <w:tcPr>
            <w:tcW w:type="dxa" w:w="396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Risk level: LOW, MEDIUM, HIGH, CRITICAL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bCs/>
                <w:sz w:val="20"/>
                <w:szCs w:val="20"/>
              </w:rPr>
              <w:t xml:space="preserve">packages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Array[String]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NOT NULL</w:t>
            </w:r>
          </w:p>
        </w:tc>
        <w:tc>
          <w:tcPr>
            <w:tcW w:type="dxa" w:w="3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List of package names affected by this CVE</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bCs/>
                <w:sz w:val="20"/>
                <w:szCs w:val="20"/>
              </w:rPr>
              <w:t xml:space="preserve">affected_versions</w:t>
            </w:r>
          </w:p>
        </w:tc>
        <w:tc>
          <w:tcPr>
            <w:tcW w:type="dxa" w:w="16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String</w:t>
            </w:r>
          </w:p>
        </w:tc>
        <w:tc>
          <w:tcPr>
            <w:tcW w:type="dxa" w:w="18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NOT NULL</w:t>
            </w:r>
          </w:p>
        </w:tc>
        <w:tc>
          <w:tcPr>
            <w:tcW w:type="dxa" w:w="396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Version expression (e.g., "&lt; 1.2.3", "&gt;= 1.0.0, &lt; 2.0.0")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bCs/>
                <w:sz w:val="20"/>
                <w:szCs w:val="20"/>
              </w:rPr>
              <w:t xml:space="preserve">description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String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Optional</w:t>
            </w:r>
          </w:p>
        </w:tc>
        <w:tc>
          <w:tcPr>
            <w:tcW w:type="dxa" w:w="3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Detailed explanation of the vulnerability and its impact</w:t>
            </w:r>
          </w:p>
        </w:tc>
      </w:tr>
    </w:tbl>
    <w:p>
      <w:pPr>
        <w:spacing w:before="80" w:after="80"/>
      </w:pPr>
      <w:r>
        <w:t xml:space="preserve"/>
      </w:r>
    </w:p>
    <w:p>
      <w:pPr>
        <w:spacing w:before="80" w:after="80"/>
      </w:pPr>
      <w:r>
        <w:t xml:space="preserve"/>
      </w:r>
    </w:p>
    <w:p>
      <w:pPr>
        <w:pStyle w:val="Heading2"/>
        <w:spacing w:before="280" w:after="100"/>
      </w:pPr>
      <w:r>
        <w:rPr>
          <w:rFonts w:ascii="Arial" w:cs="Arial" w:eastAsia="Arial" w:hAnsi="Arial"/>
          <w:b/>
          <w:bCs/>
          <w:color w:val="2E75B6"/>
          <w:sz w:val="26"/>
          <w:szCs w:val="26"/>
        </w:rPr>
        <w:t xml:space="preserve">5.2 Scan Report Schema</w:t>
      </w:r>
    </w:p>
    <w:p>
      <w:pPr>
        <w:spacing w:before="60" w:after="60"/>
      </w:pPr>
      <w:r>
        <w:rPr>
          <w:rFonts w:ascii="Arial" w:cs="Arial" w:eastAsia="Arial" w:hAnsi="Arial"/>
          <w:sz w:val="22"/>
          <w:szCs w:val="22"/>
        </w:rPr>
        <w:t xml:space="preserve">Defines the top-level structure of a generated scan report.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5400"/>
      </w:tblGrid>
      <w:tr>
        <w:trPr>
          <w:tblHeader/>
        </w:trPr>
        <w:tc>
          <w:tcPr>
            <w:tcW w:type="dxa" w:w="220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 Name</w:t>
            </w:r>
          </w:p>
        </w:tc>
        <w:tc>
          <w:tcPr>
            <w:tcW w:type="dxa" w:w="176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Data Type</w:t>
            </w:r>
          </w:p>
        </w:tc>
        <w:tc>
          <w:tcPr>
            <w:tcW w:type="dxa" w:w="540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bCs/>
                <w:sz w:val="20"/>
                <w:szCs w:val="20"/>
              </w:rPr>
              <w:t xml:space="preserve">image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String</w:t>
            </w:r>
          </w:p>
        </w:tc>
        <w:tc>
          <w:tcPr>
            <w:tcW w:type="dxa" w:w="5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Name and tag of the scanned Docker image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bCs/>
                <w:sz w:val="20"/>
                <w:szCs w:val="20"/>
              </w:rPr>
              <w:t xml:space="preserve">os</w:t>
            </w:r>
          </w:p>
        </w:tc>
        <w:tc>
          <w:tcPr>
            <w:tcW w:type="dxa" w:w="176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String</w:t>
            </w:r>
          </w:p>
        </w:tc>
        <w:tc>
          <w:tcPr>
            <w:tcW w:type="dxa" w:w="54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Detected operating system (e.g., alpine, debian)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bCs/>
                <w:sz w:val="20"/>
                <w:szCs w:val="20"/>
              </w:rPr>
              <w:t xml:space="preserve">scan_time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DateTime</w:t>
            </w:r>
          </w:p>
        </w:tc>
        <w:tc>
          <w:tcPr>
            <w:tcW w:type="dxa" w:w="5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ISO 8601 timestamp when scan was executed</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bCs/>
                <w:sz w:val="20"/>
                <w:szCs w:val="20"/>
              </w:rPr>
              <w:t xml:space="preserve">overall_risk</w:t>
            </w:r>
          </w:p>
        </w:tc>
        <w:tc>
          <w:tcPr>
            <w:tcW w:type="dxa" w:w="176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Enum</w:t>
            </w:r>
          </w:p>
        </w:tc>
        <w:tc>
          <w:tcPr>
            <w:tcW w:type="dxa" w:w="54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Highest severity found among all detected CVEs</w:t>
            </w:r>
          </w:p>
        </w:tc>
      </w:tr>
    </w:tbl>
    <w:p>
      <w:pPr>
        <w:spacing w:before="80" w:after="80"/>
      </w:pPr>
      <w:r>
        <w:t xml:space="preserve"/>
      </w:r>
    </w:p>
    <w:p>
      <w:pPr>
        <w:spacing w:before="80" w:after="80"/>
      </w:pPr>
      <w:r>
        <w:t xml:space="preserve"/>
      </w:r>
    </w:p>
    <w:p>
      <w:pPr>
        <w:pStyle w:val="Heading2"/>
        <w:spacing w:before="280" w:after="100"/>
      </w:pPr>
      <w:r>
        <w:rPr>
          <w:rFonts w:ascii="Arial" w:cs="Arial" w:eastAsia="Arial" w:hAnsi="Arial"/>
          <w:b/>
          <w:bCs/>
          <w:color w:val="2E75B6"/>
          <w:sz w:val="26"/>
          <w:szCs w:val="26"/>
        </w:rPr>
        <w:t xml:space="preserve">5.3 Findings Schema</w:t>
      </w:r>
    </w:p>
    <w:p>
      <w:pPr>
        <w:spacing w:before="60" w:after="60"/>
      </w:pPr>
      <w:r>
        <w:rPr>
          <w:rFonts w:ascii="Arial" w:cs="Arial" w:eastAsia="Arial" w:hAnsi="Arial"/>
          <w:sz w:val="22"/>
          <w:szCs w:val="22"/>
        </w:rPr>
        <w:t xml:space="preserve">Defines the structure of each individual vulnerability finding nested within a scan report.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5400"/>
      </w:tblGrid>
      <w:tr>
        <w:trPr>
          <w:tblHeader/>
        </w:trPr>
        <w:tc>
          <w:tcPr>
            <w:tcW w:type="dxa" w:w="220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 Name</w:t>
            </w:r>
          </w:p>
        </w:tc>
        <w:tc>
          <w:tcPr>
            <w:tcW w:type="dxa" w:w="176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Data Type</w:t>
            </w:r>
          </w:p>
        </w:tc>
        <w:tc>
          <w:tcPr>
            <w:tcW w:type="dxa" w:w="540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bCs/>
                <w:sz w:val="20"/>
                <w:szCs w:val="20"/>
              </w:rPr>
              <w:t xml:space="preserve">package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String</w:t>
            </w:r>
          </w:p>
        </w:tc>
        <w:tc>
          <w:tcPr>
            <w:tcW w:type="dxa" w:w="5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Name of the vulnerable package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bCs/>
                <w:sz w:val="20"/>
                <w:szCs w:val="20"/>
              </w:rPr>
              <w:t xml:space="preserve">version</w:t>
            </w:r>
          </w:p>
        </w:tc>
        <w:tc>
          <w:tcPr>
            <w:tcW w:type="dxa" w:w="176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String</w:t>
            </w:r>
          </w:p>
        </w:tc>
        <w:tc>
          <w:tcPr>
            <w:tcW w:type="dxa" w:w="54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Installed version of the package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bCs/>
                <w:sz w:val="20"/>
                <w:szCs w:val="20"/>
              </w:rPr>
              <w:t xml:space="preserve">cve_id</w:t>
            </w:r>
          </w:p>
        </w:tc>
        <w:tc>
          <w:tcPr>
            <w:tcW w:type="dxa" w:w="17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String</w:t>
            </w:r>
          </w:p>
        </w:tc>
        <w:tc>
          <w:tcPr>
            <w:tcW w:type="dxa" w:w="5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Matching CVE identifier</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bCs/>
                <w:sz w:val="20"/>
                <w:szCs w:val="20"/>
              </w:rPr>
              <w:t xml:space="preserve">severity</w:t>
            </w:r>
          </w:p>
        </w:tc>
        <w:tc>
          <w:tcPr>
            <w:tcW w:type="dxa" w:w="176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Enum</w:t>
            </w:r>
          </w:p>
        </w:tc>
        <w:tc>
          <w:tcPr>
            <w:tcW w:type="dxa" w:w="54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Severity level of the CVE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bCs/>
                <w:sz w:val="20"/>
                <w:szCs w:val="20"/>
              </w:rPr>
              <w:t xml:space="preserve">description</w:t>
            </w:r>
          </w:p>
        </w:tc>
        <w:tc>
          <w:tcPr>
            <w:tcW w:type="dxa" w:w="17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String</w:t>
            </w:r>
          </w:p>
        </w:tc>
        <w:tc>
          <w:tcPr>
            <w:tcW w:type="dxa" w:w="5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Brief explanation of the vulnerability</w:t>
            </w:r>
          </w:p>
        </w:tc>
      </w:tr>
    </w:tbl>
    <w:p>
      <w:pPr>
        <w:spacing w:before="80" w:after="80"/>
      </w:pPr>
      <w:r>
        <w:t xml:space="preserve"/>
      </w:r>
    </w:p>
    <w:p>
      <w:pPr>
        <w:spacing w:before="80" w:after="80"/>
      </w:pPr>
      <w:r>
        <w:t xml:space="preserve"/>
      </w:r>
    </w:p>
    <w:p>
      <w:pPr>
        <w:pStyle w:val="Heading1"/>
        <w:pBdr>
          <w:bottom w:val="single" w:color="1F5C8B" w:sz="6" w:space="4"/>
        </w:pBdr>
        <w:spacing w:before="360" w:after="120"/>
      </w:pPr>
      <w:r>
        <w:rPr>
          <w:rFonts w:ascii="Arial" w:cs="Arial" w:eastAsia="Arial" w:hAnsi="Arial"/>
          <w:b/>
          <w:bCs/>
          <w:color w:val="1F5C8B"/>
          <w:sz w:val="32"/>
          <w:szCs w:val="32"/>
        </w:rPr>
        <w:t xml:space="preserve">6. Data Exchange Contract</w:t>
      </w:r>
    </w:p>
    <w:p>
      <w:pPr>
        <w:spacing w:before="60" w:after="60"/>
      </w:pPr>
      <w:r>
        <w:rPr>
          <w:rFonts w:ascii="Arial" w:cs="Arial" w:eastAsia="Arial" w:hAnsi="Arial"/>
          <w:sz w:val="22"/>
          <w:szCs w:val="22"/>
        </w:rPr>
        <w:t xml:space="preserve">This section defines how data is moved and processed within the DockSec environment.</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6.1 Frequency of Data Exchanges</w:t>
      </w:r>
    </w:p>
    <w:p>
      <w:pPr>
        <w:pStyle w:val="ListParagraph"/>
        <w:numPr>
          <w:ilvl w:val="0"/>
          <w:numId w:val="2"/>
        </w:numPr>
        <w:spacing w:before="40" w:after="40"/>
      </w:pPr>
      <w:r>
        <w:rPr>
          <w:rFonts w:ascii="Arial" w:cs="Arial" w:eastAsia="Arial" w:hAnsi="Arial"/>
          <w:b/>
          <w:bCs/>
          <w:sz w:val="22"/>
          <w:szCs w:val="22"/>
        </w:rPr>
        <w:t xml:space="preserve">On-Demand: </w:t>
      </w:r>
      <w:r>
        <w:rPr>
          <w:rFonts w:ascii="Arial" w:cs="Arial" w:eastAsia="Arial" w:hAnsi="Arial"/>
          <w:sz w:val="22"/>
          <w:szCs w:val="22"/>
        </w:rPr>
        <w:t xml:space="preserve">Data exchange is triggered exclusively by user initiation (CLI command) or CI/CD pipeline triggers.</w:t>
      </w:r>
    </w:p>
    <w:p>
      <w:pPr>
        <w:pStyle w:val="ListParagraph"/>
        <w:numPr>
          <w:ilvl w:val="0"/>
          <w:numId w:val="2"/>
        </w:numPr>
        <w:spacing w:before="40" w:after="40"/>
      </w:pPr>
      <w:r>
        <w:rPr>
          <w:rFonts w:ascii="Arial" w:cs="Arial" w:eastAsia="Arial" w:hAnsi="Arial"/>
          <w:b/>
          <w:bCs/>
          <w:sz w:val="22"/>
          <w:szCs w:val="22"/>
        </w:rPr>
        <w:t xml:space="preserve">Single Execution: </w:t>
      </w:r>
      <w:r>
        <w:rPr>
          <w:rFonts w:ascii="Arial" w:cs="Arial" w:eastAsia="Arial" w:hAnsi="Arial"/>
          <w:sz w:val="22"/>
          <w:szCs w:val="22"/>
        </w:rPr>
        <w:t xml:space="preserve">Each scan is independent; no persistent data state is maintained between scans except for the local CVE database.</w:t>
      </w:r>
    </w:p>
    <w:p>
      <w:pPr>
        <w:spacing w:before="80" w:after="80"/>
      </w:pPr>
      <w:r>
        <w:t xml:space="preserve"/>
      </w:r>
    </w:p>
    <w:p>
      <w:pPr>
        <w:pStyle w:val="Heading2"/>
        <w:spacing w:before="280" w:after="100"/>
      </w:pPr>
      <w:r>
        <w:rPr>
          <w:rFonts w:ascii="Arial" w:cs="Arial" w:eastAsia="Arial" w:hAnsi="Arial"/>
          <w:b/>
          <w:bCs/>
          <w:color w:val="2E75B6"/>
          <w:sz w:val="26"/>
          <w:szCs w:val="26"/>
        </w:rPr>
        <w:t xml:space="preserve">6.2 Data Sets</w:t>
      </w:r>
    </w:p>
    <w:p>
      <w:pPr>
        <w:spacing w:before="60" w:after="60"/>
      </w:pPr>
      <w:r>
        <w:rPr>
          <w:rFonts w:ascii="Arial" w:cs="Arial" w:eastAsia="Arial" w:hAnsi="Arial"/>
          <w:sz w:val="22"/>
          <w:szCs w:val="22"/>
        </w:rPr>
        <w:t xml:space="preserve">The table below lists the primary data sets exchanged between components during a scan execution.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80"/>
        <w:gridCol w:w="2080"/>
      </w:tblGrid>
      <w:tr>
        <w:trPr>
          <w:tblHeader/>
        </w:trPr>
        <w:tc>
          <w:tcPr>
            <w:tcW w:type="dxa" w:w="220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Data Set</w:t>
            </w:r>
          </w:p>
        </w:tc>
        <w:tc>
          <w:tcPr>
            <w:tcW w:type="dxa" w:w="300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c>
          <w:tcPr>
            <w:tcW w:type="dxa" w:w="208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Source</w:t>
            </w:r>
          </w:p>
        </w:tc>
        <w:tc>
          <w:tcPr>
            <w:tcW w:type="dxa" w:w="2080"/>
            <w:tcBorders>
              <w:top w:val="single" w:color="BBBBBB" w:sz="1"/>
              <w:left w:val="single" w:color="BBBBBB" w:sz="1"/>
              <w:bottom w:val="single" w:color="BBBBBB" w:sz="1"/>
              <w:right w:val="single" w:color="BBBBBB" w:sz="1"/>
            </w:tcBorders>
            <w:shd w:fill="1F5C8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Destination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bCs/>
                <w:sz w:val="20"/>
                <w:szCs w:val="20"/>
              </w:rPr>
              <w:t xml:space="preserve">Target Image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Name/Tag of the scan target.</w:t>
            </w:r>
          </w:p>
        </w:tc>
        <w:tc>
          <w:tcPr>
            <w:tcW w:type="dxa" w:w="20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User Input</w:t>
            </w:r>
          </w:p>
        </w:tc>
        <w:tc>
          <w:tcPr>
            <w:tcW w:type="dxa" w:w="20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Image Loader</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bCs/>
                <w:sz w:val="20"/>
                <w:szCs w:val="20"/>
              </w:rPr>
              <w:t xml:space="preserve">Package Metadata</w:t>
            </w:r>
          </w:p>
        </w:tc>
        <w:tc>
          <w:tcPr>
            <w:tcW w:type="dxa" w:w="30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List of names and versions.</w:t>
            </w:r>
          </w:p>
        </w:tc>
        <w:tc>
          <w:tcPr>
            <w:tcW w:type="dxa" w:w="208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Docker Filesystem</w:t>
            </w:r>
          </w:p>
        </w:tc>
        <w:tc>
          <w:tcPr>
            <w:tcW w:type="dxa" w:w="208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CVE Matcher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bCs/>
                <w:sz w:val="20"/>
                <w:szCs w:val="20"/>
              </w:rPr>
              <w:t xml:space="preserve">CVE Definitions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Vulnerability signatures.</w:t>
            </w:r>
          </w:p>
        </w:tc>
        <w:tc>
          <w:tcPr>
            <w:tcW w:type="dxa" w:w="20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Local JSON File</w:t>
            </w:r>
          </w:p>
        </w:tc>
        <w:tc>
          <w:tcPr>
            <w:tcW w:type="dxa" w:w="20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CVE Matcher</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bCs/>
                <w:sz w:val="20"/>
                <w:szCs w:val="20"/>
              </w:rPr>
              <w:t xml:space="preserve">Scan Findings</w:t>
            </w:r>
          </w:p>
        </w:tc>
        <w:tc>
          <w:tcPr>
            <w:tcW w:type="dxa" w:w="300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List of identified vulnerabilities.</w:t>
            </w:r>
          </w:p>
        </w:tc>
        <w:tc>
          <w:tcPr>
            <w:tcW w:type="dxa" w:w="208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CVE Matcher</w:t>
            </w:r>
          </w:p>
        </w:tc>
        <w:tc>
          <w:tcPr>
            <w:tcW w:type="dxa" w:w="2080"/>
            <w:tcBorders>
              <w:top w:val="single" w:color="BBBBBB" w:sz="1"/>
              <w:left w:val="single" w:color="BBBBBB" w:sz="1"/>
              <w:bottom w:val="single" w:color="BBBBBB" w:sz="1"/>
              <w:right w:val="single" w:color="BBBBBB" w:sz="1"/>
            </w:tcBorders>
            <w:shd w:fill="EBF3FB" w:val="clear"/>
            <w:tcMar>
              <w:top w:type="dxa" w:w="80"/>
              <w:left w:type="dxa" w:w="150"/>
              <w:bottom w:type="dxa" w:w="80"/>
              <w:right w:type="dxa" w:w="150"/>
            </w:tcMar>
            <w:vAlign w:val="top"/>
          </w:tcPr>
          <w:p>
            <w:r>
              <w:rPr>
                <w:rFonts w:ascii="Arial" w:cs="Arial" w:eastAsia="Arial" w:hAnsi="Arial"/>
                <w:b w:val="false"/>
                <w:bCs w:val="false"/>
                <w:sz w:val="20"/>
                <w:szCs w:val="20"/>
              </w:rPr>
              <w:t xml:space="preserve">Reporter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bCs/>
                <w:sz w:val="20"/>
                <w:szCs w:val="20"/>
              </w:rPr>
              <w:t xml:space="preserve">Final Reports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JSON and Markdown files.</w:t>
            </w:r>
          </w:p>
        </w:tc>
        <w:tc>
          <w:tcPr>
            <w:tcW w:type="dxa" w:w="20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Reporter</w:t>
            </w:r>
          </w:p>
        </w:tc>
        <w:tc>
          <w:tcPr>
            <w:tcW w:type="dxa" w:w="20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vAlign w:val="top"/>
          </w:tcPr>
          <w:p>
            <w:r>
              <w:rPr>
                <w:rFonts w:ascii="Arial" w:cs="Arial" w:eastAsia="Arial" w:hAnsi="Arial"/>
                <w:b w:val="false"/>
                <w:bCs w:val="false"/>
                <w:sz w:val="20"/>
                <w:szCs w:val="20"/>
              </w:rPr>
              <w:t xml:space="preserve">Local Filesystem</w:t>
            </w:r>
          </w:p>
        </w:tc>
      </w:tr>
    </w:tbl>
    <w:p>
      <w:pPr>
        <w:spacing w:before="80" w:after="80"/>
      </w:pPr>
      <w:r>
        <w:t xml:space="preserve"/>
      </w:r>
    </w:p>
    <w:p>
      <w:pPr>
        <w:spacing w:before="80" w:after="80"/>
      </w:pPr>
      <w:r>
        <w:t xml:space="preserve"/>
      </w:r>
    </w:p>
    <w:p>
      <w:pPr>
        <w:pStyle w:val="Heading2"/>
        <w:spacing w:before="280" w:after="100"/>
      </w:pPr>
      <w:r>
        <w:rPr>
          <w:rFonts w:ascii="Arial" w:cs="Arial" w:eastAsia="Arial" w:hAnsi="Arial"/>
          <w:b/>
          <w:bCs/>
          <w:color w:val="2E75B6"/>
          <w:sz w:val="26"/>
          <w:szCs w:val="26"/>
        </w:rPr>
        <w:t xml:space="preserve">6.3 Mode of Exchanges</w:t>
      </w:r>
    </w:p>
    <w:p>
      <w:pPr>
        <w:pStyle w:val="ListParagraph"/>
        <w:numPr>
          <w:ilvl w:val="0"/>
          <w:numId w:val="2"/>
        </w:numPr>
        <w:spacing w:before="40" w:after="40"/>
      </w:pPr>
      <w:r>
        <w:rPr>
          <w:rFonts w:ascii="Arial" w:cs="Arial" w:eastAsia="Arial" w:hAnsi="Arial"/>
          <w:b/>
          <w:bCs/>
          <w:sz w:val="22"/>
          <w:szCs w:val="22"/>
        </w:rPr>
        <w:t xml:space="preserve">CLI Arguments: </w:t>
      </w:r>
      <w:r>
        <w:rPr>
          <w:rFonts w:ascii="Arial" w:cs="Arial" w:eastAsia="Arial" w:hAnsi="Arial"/>
          <w:sz w:val="22"/>
          <w:szCs w:val="22"/>
        </w:rPr>
        <w:t xml:space="preserve">Initial configuration (image name) is passed via command-line arguments.</w:t>
      </w:r>
    </w:p>
    <w:p>
      <w:pPr>
        <w:pStyle w:val="ListParagraph"/>
        <w:numPr>
          <w:ilvl w:val="0"/>
          <w:numId w:val="2"/>
        </w:numPr>
        <w:spacing w:before="40" w:after="40"/>
      </w:pPr>
      <w:r>
        <w:rPr>
          <w:rFonts w:ascii="Arial" w:cs="Arial" w:eastAsia="Arial" w:hAnsi="Arial"/>
          <w:b/>
          <w:bCs/>
          <w:sz w:val="22"/>
          <w:szCs w:val="22"/>
        </w:rPr>
        <w:t xml:space="preserve">Docker Engine API: </w:t>
      </w:r>
      <w:r>
        <w:rPr>
          <w:rFonts w:ascii="Arial" w:cs="Arial" w:eastAsia="Arial" w:hAnsi="Arial"/>
          <w:sz w:val="22"/>
          <w:szCs w:val="22"/>
        </w:rPr>
        <w:t xml:space="preserve">Communication with Docker via subprocess calls (docker pull, docker export).</w:t>
      </w:r>
    </w:p>
    <w:p>
      <w:pPr>
        <w:pStyle w:val="ListParagraph"/>
        <w:numPr>
          <w:ilvl w:val="0"/>
          <w:numId w:val="2"/>
        </w:numPr>
        <w:spacing w:before="40" w:after="40"/>
      </w:pPr>
      <w:r>
        <w:rPr>
          <w:rFonts w:ascii="Arial" w:cs="Arial" w:eastAsia="Arial" w:hAnsi="Arial"/>
          <w:b/>
          <w:bCs/>
          <w:sz w:val="22"/>
          <w:szCs w:val="22"/>
        </w:rPr>
        <w:t xml:space="preserve">Internal (In-memory): </w:t>
      </w:r>
      <w:r>
        <w:rPr>
          <w:rFonts w:ascii="Arial" w:cs="Arial" w:eastAsia="Arial" w:hAnsi="Arial"/>
          <w:sz w:val="22"/>
          <w:szCs w:val="22"/>
        </w:rPr>
        <w:t xml:space="preserve">Data between Python modules is passed as native dictionaries and lists.</w:t>
      </w:r>
    </w:p>
    <w:p>
      <w:pPr>
        <w:spacing w:before="40" w:after="20"/>
      </w:pPr>
      <w:r>
        <w:rPr>
          <w:rFonts w:ascii="Arial" w:cs="Arial" w:eastAsia="Arial" w:hAnsi="Arial"/>
          <w:b/>
          <w:bCs/>
          <w:sz w:val="22"/>
          <w:szCs w:val="22"/>
        </w:rPr>
        <w:t xml:space="preserve">Filesystem:</w:t>
      </w:r>
    </w:p>
    <w:p>
      <w:pPr>
        <w:pStyle w:val="ListParagraph"/>
        <w:numPr>
          <w:ilvl w:val="0"/>
          <w:numId w:val="2"/>
        </w:numPr>
        <w:spacing w:before="30" w:after="30"/>
        <w:ind w:left="1080" w:hanging="360"/>
      </w:pPr>
      <w:r>
        <w:rPr>
          <w:rFonts w:ascii="Arial" w:cs="Arial" w:eastAsia="Arial" w:hAnsi="Arial"/>
          <w:sz w:val="22"/>
          <w:szCs w:val="22"/>
        </w:rPr>
        <w:t xml:space="preserve">Input: Reading the local data/demo_cves.json.</w:t>
      </w:r>
    </w:p>
    <w:p>
      <w:pPr>
        <w:pStyle w:val="ListParagraph"/>
        <w:numPr>
          <w:ilvl w:val="0"/>
          <w:numId w:val="2"/>
        </w:numPr>
        <w:spacing w:before="30" w:after="30"/>
        <w:ind w:left="1080" w:hanging="360"/>
      </w:pPr>
      <w:r>
        <w:rPr>
          <w:rFonts w:ascii="Arial" w:cs="Arial" w:eastAsia="Arial" w:hAnsi="Arial"/>
          <w:sz w:val="22"/>
          <w:szCs w:val="22"/>
        </w:rPr>
        <w:t xml:space="preserve">Intermediate: Temporary tarballs created during extraction.</w:t>
      </w:r>
    </w:p>
    <w:p>
      <w:pPr>
        <w:pStyle w:val="ListParagraph"/>
        <w:numPr>
          <w:ilvl w:val="0"/>
          <w:numId w:val="2"/>
        </w:numPr>
        <w:spacing w:before="30" w:after="30"/>
        <w:ind w:left="1080" w:hanging="360"/>
      </w:pPr>
      <w:r>
        <w:rPr>
          <w:rFonts w:ascii="Arial" w:cs="Arial" w:eastAsia="Arial" w:hAnsi="Arial"/>
          <w:sz w:val="22"/>
          <w:szCs w:val="22"/>
        </w:rPr>
        <w:t xml:space="preserve">Output: Reports written to the reports/ directory.</w:t>
      </w:r>
    </w:p>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5C8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b08d4fd0c30a5c4eea35dda00e073e333996b57.png"/><Relationship Id="rId7" Type="http://schemas.openxmlformats.org/officeDocument/2006/relationships/image" Target="media/2a6794b733e22d581286b629d8935234a4a72e72.png"/><Relationship Id="rId8" Type="http://schemas.openxmlformats.org/officeDocument/2006/relationships/image" Target="media/29c24629bf79dfaac562b85bf59a93d33418e351.png"/><Relationship Id="rId9" Type="http://schemas.openxmlformats.org/officeDocument/2006/relationships/image" Target="media/7b9bb58af00fb714847150feb138f564ee3f0bb2.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2026-03-27T20:14:03.421Z</dcterms:created>
  <dcterms:modified xsi:type="dcterms:W3CDTF">2026-03-27T20:14:03.422Z</dcterms:modified>
</cp:coreProperties>
</file>

<file path=docProps/custom.xml><?xml version="1.0" encoding="utf-8"?>
<Properties xmlns="http://schemas.openxmlformats.org/officeDocument/2006/custom-properties" xmlns:vt="http://schemas.openxmlformats.org/officeDocument/2006/docPropsVTypes"/>
</file>