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6"/>
      </w:tblGrid>
      <w:tr>
        <w:trPr>
          <w:cantSplit/>
        </w:trPr>
        <w:tc>
          <w:tcPr>
            <w:tcW w:type="dxa" w:w="10206"/>
            <w:shd w:val="clear" w:color="auto" w:fill="0F3D3A"/>
            <w:tcMar>
              <w:top w:w="90" w:type="dxa"/>
              <w:bottom w:w="90" w:type="dxa"/>
              <w:left w:w="120" w:type="dxa"/>
              <w:right w:w="120" w:type="dxa"/>
            </w:tcMar>
            <w:tcMar>
              <w:top w:w="260" w:type="dxa"/>
              <w:bottom w:w="260" w:type="dxa"/>
              <w:left w:w="200" w:type="dxa"/>
              <w:right w:w="200" w:type="dxa"/>
            </w:tcMar>
          </w:tcPr>
          <w:p>
            <w:pPr>
              <w:spacing w:before="0" w:after="0"/>
              <w:jc w:val="center"/>
            </w:pPr>
            <w:r>
              <w:rPr>
                <w:rFonts w:ascii="Georgia" w:hAnsi="Georgia"/>
                <w:b/>
                <w:i w:val="0"/>
                <w:color w:val="F7F4ED"/>
                <w:sz w:val="58"/>
              </w:rPr>
              <w:t>CLARITY</w:t>
            </w:r>
          </w:p>
          <w:p>
            <w:pPr>
              <w:spacing w:before="0" w:after="0"/>
              <w:jc w:val="center"/>
            </w:pPr>
            <w:r>
              <w:rPr>
                <w:b w:val="0"/>
                <w:i w:val="0"/>
                <w:color w:val="2FB89A"/>
                <w:sz w:val="16"/>
              </w:rPr>
              <w:t>REAL INSIGHTS IN SECONDS</w:t>
            </w:r>
          </w:p>
        </w:tc>
      </w:tr>
    </w:tbl>
    <w:p>
      <w:pPr>
        <w:spacing w:before="240" w:after="40"/>
        <w:jc w:val="center"/>
      </w:pPr>
      <w:r>
        <w:rPr>
          <w:b/>
          <w:i w:val="0"/>
          <w:color w:val="2FB89A"/>
          <w:sz w:val="16"/>
        </w:rPr>
        <w:t>THE WEEK AT A GLANCE</w:t>
      </w:r>
    </w:p>
    <w:p>
      <w:pPr>
        <w:spacing w:before="0" w:after="40"/>
        <w:jc w:val="center"/>
      </w:pPr>
      <w:r>
        <w:rPr>
          <w:rFonts w:ascii="Georgia" w:hAnsi="Georgia"/>
          <w:b/>
          <w:i w:val="0"/>
          <w:color w:val="0A2C2A"/>
          <w:sz w:val="36"/>
        </w:rPr>
        <w:t>Cardiology</w:t>
      </w:r>
    </w:p>
    <w:p>
      <w:pPr>
        <w:spacing w:before="0" w:after="160"/>
        <w:jc w:val="center"/>
      </w:pPr>
      <w:r>
        <w:rPr>
          <w:b w:val="0"/>
          <w:i w:val="0"/>
          <w:sz w:val="26"/>
        </w:rPr>
        <w:t>October 30, 2026 · 3 selected publications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gridCol w:w="3402"/>
      </w:tblGrid>
      <w:tr>
        <w:trPr>
          <w:cantSplit/>
        </w:trPr>
        <w:tc>
          <w:tcPr>
            <w:tcW w:type="dxa" w:w="3402"/>
            <w:tcMar>
              <w:top w:w="90" w:type="dxa"/>
              <w:bottom w:w="90" w:type="dxa"/>
              <w:left w:w="120" w:type="dxa"/>
              <w:right w:w="120" w:type="dxa"/>
            </w:tcMar>
          </w:tcP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14"/>
              </w:rPr>
              <w:t>CURATED</w:t>
            </w:r>
          </w:p>
          <w:p>
            <w:pPr>
              <w:spacing w:before="0" w:after="0"/>
              <w:jc w:val="center"/>
            </w:pPr>
            <w:r>
              <w:rPr>
                <w:b w:val="0"/>
                <w:i w:val="0"/>
                <w:color w:val="5C7370"/>
                <w:sz w:val="14"/>
              </w:rPr>
              <w:t>Only the essentials</w:t>
            </w:r>
          </w:p>
        </w:tc>
        <w:tc>
          <w:tcPr>
            <w:tcW w:type="dxa" w:w="3402"/>
            <w:tcMar>
              <w:top w:w="90" w:type="dxa"/>
              <w:bottom w:w="90" w:type="dxa"/>
              <w:left w:w="120" w:type="dxa"/>
              <w:right w:w="120" w:type="dxa"/>
            </w:tcMar>
          </w:tcPr>
          <w:p/>
        </w:tc>
      </w:tr>
    </w:tbl>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rPr>
          <w:cantSplit/>
        </w:trPr>
        <w:tc>
          <w:tcPr>
            <w:tcW w:type="dxa" w:w="5103"/>
            <w:shd w:val="clear" w:color="auto" w:fill="0F3D3A"/>
            <w:tcMar>
              <w:top w:w="90" w:type="dxa"/>
              <w:bottom w:w="90" w:type="dxa"/>
              <w:left w:w="120" w:type="dxa"/>
              <w:right w:w="120" w:type="dxa"/>
            </w:tcMar>
          </w:tcPr>
          <w:p>
            <w:pPr>
              <w:spacing w:before="0" w:after="0"/>
              <w:jc w:val="center"/>
            </w:pPr>
            <w:r>
              <w:rPr>
                <w:rFonts w:ascii="Georgia" w:hAnsi="Georgia"/>
                <w:b/>
                <w:i w:val="0"/>
                <w:color w:val="F7F4ED"/>
                <w:sz w:val="26"/>
              </w:rPr>
              <w:t>01</w:t>
            </w:r>
          </w:p>
        </w:tc>
        <w:tc>
          <w:tcPr>
            <w:tcW w:type="dxa" w:w="5103"/>
            <w:shd w:val="clear" w:color="auto" w:fill="F1F6F4"/>
            <w:tcMar>
              <w:top w:w="90" w:type="dxa"/>
              <w:bottom w:w="90" w:type="dxa"/>
              <w:left w:w="120" w:type="dxa"/>
              <w:right w:w="120" w:type="dxa"/>
            </w:tcMar>
          </w:tcPr>
          <w:p>
            <w:pPr>
              <w:spacing w:before="0" w:after="0"/>
            </w:pPr>
            <w:r>
              <w:rPr>
                <w:b/>
                <w:i w:val="0"/>
                <w:color w:val="2FB89A"/>
                <w:sz w:val="14"/>
              </w:rPr>
              <w:t>MULTICENTER RCT · 14 HOSPITALS · N = 499 RANDOMIZED</w:t>
            </w:r>
          </w:p>
        </w:tc>
      </w:tr>
    </w:tbl>
    <w:p>
      <w:pPr>
        <w:keepNext/>
        <w:spacing w:before="100" w:after="20"/>
      </w:pPr>
      <w:r>
        <w:rPr>
          <w:rFonts w:ascii="Georgia" w:hAnsi="Georgia"/>
          <w:b/>
          <w:i w:val="0"/>
          <w:sz w:val="23"/>
        </w:rPr>
        <w:t>Left Bundle-Branch Area Pacing vs Right Ventricular Pacing for Atrioventricular Block and Preserved Left Ventricular Function: The LEAP-Block Randomized Clinical Trial</w:t>
      </w:r>
    </w:p>
    <w:p>
      <w:pPr>
        <w:keepNext/>
        <w:spacing w:before="0" w:after="100"/>
      </w:pPr>
      <w:r>
        <w:rPr>
          <w:b w:val="0"/>
          <w:i w:val="0"/>
          <w:color w:val="5C7370"/>
          <w:sz w:val="15"/>
        </w:rPr>
        <w:t>JAMA  ·  Oct 28, 2026</w:t>
      </w:r>
    </w:p>
    <w:p>
      <w:pPr>
        <w:keepNext/>
        <w:spacing w:before="0" w:after="20"/>
      </w:pPr>
      <w:r>
        <w:rPr>
          <w:b/>
          <w:i w:val="0"/>
          <w:color w:val="2FB89A"/>
          <w:sz w:val="14"/>
        </w:rPr>
        <w:t>WHY IT MATTERS</w:t>
      </w:r>
    </w:p>
    <w:p>
      <w:pPr>
        <w:keepNext/>
        <w:spacing w:before="0" w:after="80"/>
      </w:pPr>
      <w:r>
        <w:rPr>
          <w:b w:val="0"/>
          <w:i w:val="0"/>
          <w:sz w:val="18"/>
        </w:rPr>
        <w:t>The LEAP-Block trial randomized patients with atrioventricular block and preserved LVEF (≥50%) to left bundle-branch area pacing (LBBAP) or right ventricular pacing (RVP) and compared 24-month clinical outcomes. According to the abstract, the optimal pacing strategy to reduce heart failure and all-cause mortality in patients requiring high-burden ventricular pacing remains uncertain, and robust comparative evidence is needed.</w:t>
      </w:r>
    </w:p>
    <w:p>
      <w:pPr>
        <w:keepNext/>
        <w:spacing w:before="0" w:after="20"/>
      </w:pPr>
      <w:r>
        <w:rPr>
          <w:b/>
          <w:i w:val="0"/>
          <w:color w:val="2FB89A"/>
          <w:sz w:val="14"/>
        </w:rPr>
        <w:t>KEY FINDING</w:t>
      </w:r>
    </w:p>
    <w:p>
      <w:pPr>
        <w:keepNext/>
        <w:spacing w:before="0" w:after="80"/>
      </w:pPr>
      <w:r>
        <w:rPr>
          <w:b w:val="0"/>
          <w:i w:val="0"/>
          <w:sz w:val="18"/>
        </w:rPr>
        <w:t>Of 499 randomized patients, 482 entered the primary analysis (LBBAP n = 242; RVP n = 240; mean age 67 years; 46% female). The primary end point occurred in 2.4% with LBBAP vs 12.5% with RVP (absolute risk difference -10.1% [95% CI, -16.8% to -3.4%]; P = .003). HF events were 3.4% vs 11.3% (-7.9% [95% CI, -13.0% to -2.8%]). The 24-month Kaplan-Meier estimated cumulative incidence of the primary end point was 5.0% vs 13.2% (hazard ratio, 0.37 [95% CI, 0.19 to 0.73]; P = .004). Acute procedure success was 97.9% vs 99.6% (P = .22). No significant differences were observed in all-cause death, biventricular pacing upgrade, device-related complications, or pacing-induced cardiomyopathy.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gridCol w:w="3402"/>
      </w:tblGrid>
      <w:tr>
        <w:trPr>
          <w:cantSplit/>
        </w:trPr>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2.4% vs 12.5%</w:t>
            </w:r>
          </w:p>
          <w:p>
            <w:pPr>
              <w:spacing w:before="0" w:after="0"/>
              <w:jc w:val="center"/>
            </w:pPr>
            <w:r>
              <w:rPr>
                <w:b/>
                <w:i w:val="0"/>
                <w:color w:val="2FB89A"/>
                <w:sz w:val="13"/>
              </w:rPr>
              <w:t>PRIMARY END POINT, 24 MO</w:t>
            </w:r>
          </w:p>
          <w:p>
            <w:pPr>
              <w:spacing w:before="0" w:after="0"/>
              <w:jc w:val="center"/>
            </w:pPr>
            <w:r>
              <w:rPr>
                <w:b w:val="0"/>
                <w:i w:val="0"/>
                <w:color w:val="5C7370"/>
                <w:sz w:val="13"/>
              </w:rPr>
              <w:t>LBBAP vs RVP; P = .003</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HR 0.37</w:t>
            </w:r>
          </w:p>
          <w:p>
            <w:pPr>
              <w:spacing w:before="0" w:after="0"/>
              <w:jc w:val="center"/>
            </w:pPr>
            <w:r>
              <w:rPr>
                <w:b/>
                <w:i w:val="0"/>
                <w:color w:val="2FB89A"/>
                <w:sz w:val="13"/>
              </w:rPr>
              <w:t>KAPLAN-MEIER PRIMARY END POINT</w:t>
            </w:r>
          </w:p>
          <w:p>
            <w:pPr>
              <w:spacing w:before="0" w:after="0"/>
              <w:jc w:val="center"/>
            </w:pPr>
            <w:r>
              <w:rPr>
                <w:b w:val="0"/>
                <w:i w:val="0"/>
                <w:color w:val="5C7370"/>
                <w:sz w:val="13"/>
              </w:rPr>
              <w:t>95% CI 0.19 to 0.73; 5.0% vs 13.2%</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3.4% vs 11.3%</w:t>
            </w:r>
          </w:p>
          <w:p>
            <w:pPr>
              <w:spacing w:before="0" w:after="0"/>
              <w:jc w:val="center"/>
            </w:pPr>
            <w:r>
              <w:rPr>
                <w:b/>
                <w:i w:val="0"/>
                <w:color w:val="2FB89A"/>
                <w:sz w:val="13"/>
              </w:rPr>
              <w:t>HF EVENTS</w:t>
            </w:r>
          </w:p>
          <w:p>
            <w:pPr>
              <w:spacing w:before="0" w:after="0"/>
              <w:jc w:val="center"/>
            </w:pPr>
            <w:r>
              <w:rPr>
                <w:b w:val="0"/>
                <w:i w:val="0"/>
                <w:color w:val="5C7370"/>
                <w:sz w:val="13"/>
              </w:rPr>
              <w:t>LBBAP vs RVP; 95% CI -13.0% to -2.8% for difference</w:t>
            </w:r>
          </w:p>
        </w:tc>
      </w:tr>
    </w:tbl>
    <w:p>
      <w:pPr>
        <w:spacing w:before="80" w:after="240"/>
      </w:pPr>
      <w:r>
        <w:rPr>
          <w:b w:val="0"/>
          <w:i w:val="0"/>
          <w:color w:val="5C7370"/>
          <w:sz w:val="15"/>
        </w:rPr>
        <w:t xml:space="preserve">PMID 42949742   ·   </w:t>
      </w:r>
      <w:hyperlink r:id="rId10">
        <w:r>
          <w:rPr>
            <w:color w:val="2FB89A"/>
            <w:u w:val="single"/>
            <w:sz w:val="15"/>
            <w:b/>
          </w:rPr>
          <w:t>View on PubMed</w:t>
        </w:r>
      </w:hyperlink>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rPr>
          <w:cantSplit/>
        </w:trPr>
        <w:tc>
          <w:tcPr>
            <w:tcW w:type="dxa" w:w="5103"/>
            <w:shd w:val="clear" w:color="auto" w:fill="0F3D3A"/>
            <w:tcMar>
              <w:top w:w="90" w:type="dxa"/>
              <w:bottom w:w="90" w:type="dxa"/>
              <w:left w:w="120" w:type="dxa"/>
              <w:right w:w="120" w:type="dxa"/>
            </w:tcMar>
          </w:tcPr>
          <w:p>
            <w:pPr>
              <w:spacing w:before="0" w:after="0"/>
              <w:jc w:val="center"/>
            </w:pPr>
            <w:r>
              <w:rPr>
                <w:rFonts w:ascii="Georgia" w:hAnsi="Georgia"/>
                <w:b/>
                <w:i w:val="0"/>
                <w:color w:val="F7F4ED"/>
                <w:sz w:val="26"/>
              </w:rPr>
              <w:t>02</w:t>
            </w:r>
          </w:p>
        </w:tc>
        <w:tc>
          <w:tcPr>
            <w:tcW w:type="dxa" w:w="5103"/>
            <w:shd w:val="clear" w:color="auto" w:fill="F1F6F4"/>
            <w:tcMar>
              <w:top w:w="90" w:type="dxa"/>
              <w:bottom w:w="90" w:type="dxa"/>
              <w:left w:w="120" w:type="dxa"/>
              <w:right w:w="120" w:type="dxa"/>
            </w:tcMar>
          </w:tcPr>
          <w:p>
            <w:pPr>
              <w:spacing w:before="0" w:after="0"/>
            </w:pPr>
            <w:r>
              <w:rPr>
                <w:b/>
                <w:i w:val="0"/>
                <w:color w:val="2FB89A"/>
                <w:sz w:val="14"/>
              </w:rPr>
              <w:t>IPD META-ANALYSIS OF 5 RCTS · 110,933 PATIENT PRESENTATIONS</w:t>
            </w:r>
          </w:p>
        </w:tc>
      </w:tr>
    </w:tbl>
    <w:p>
      <w:pPr>
        <w:keepNext/>
        <w:spacing w:before="100" w:after="20"/>
      </w:pPr>
      <w:r>
        <w:rPr>
          <w:rFonts w:ascii="Georgia" w:hAnsi="Georgia"/>
          <w:b/>
          <w:i w:val="0"/>
          <w:sz w:val="23"/>
        </w:rPr>
        <w:t>Performance of 0/1 h versus 0/3 h pathways in patients with suspected myocardial infarction: a systematic review and individual participant data meta-analysis of randomised controlled trials</w:t>
      </w:r>
    </w:p>
    <w:p>
      <w:pPr>
        <w:keepNext/>
        <w:spacing w:before="0" w:after="100"/>
      </w:pPr>
      <w:r>
        <w:rPr>
          <w:b w:val="0"/>
          <w:i w:val="0"/>
          <w:color w:val="5C7370"/>
          <w:sz w:val="15"/>
        </w:rPr>
        <w:t>The Lancet  ·  Oct 29, 2026</w:t>
      </w:r>
    </w:p>
    <w:p>
      <w:pPr>
        <w:keepNext/>
        <w:spacing w:before="0" w:after="20"/>
      </w:pPr>
      <w:r>
        <w:rPr>
          <w:b/>
          <w:i w:val="0"/>
          <w:color w:val="2FB89A"/>
          <w:sz w:val="14"/>
        </w:rPr>
        <w:t>WHY IT MATTERS</w:t>
      </w:r>
    </w:p>
    <w:p>
      <w:pPr>
        <w:keepNext/>
        <w:spacing w:before="0" w:after="80"/>
      </w:pPr>
      <w:r>
        <w:rPr>
          <w:b w:val="0"/>
          <w:i w:val="0"/>
          <w:sz w:val="18"/>
        </w:rPr>
        <w:t>This systematic review and individual participant data meta-analysis pooled all randomised trials comparing the 0/1 h pathway with the 0/3 h pathway (standard care) in patients with suspected myocardial infarction, using harmonised outcome definitions. According to the background, the 0/1 h pathway is recommended in current guidelines, but individual trials used different safety outcomes and efficacy outcomes were inconclusive or not assessed.</w:t>
      </w:r>
    </w:p>
    <w:p>
      <w:pPr>
        <w:keepNext/>
        <w:spacing w:before="0" w:after="20"/>
      </w:pPr>
      <w:r>
        <w:rPr>
          <w:b/>
          <w:i w:val="0"/>
          <w:color w:val="2FB89A"/>
          <w:sz w:val="14"/>
        </w:rPr>
        <w:t>KEY FINDING</w:t>
      </w:r>
    </w:p>
    <w:p>
      <w:pPr>
        <w:keepNext/>
        <w:spacing w:before="0" w:after="80"/>
      </w:pPr>
      <w:r>
        <w:rPr>
          <w:b w:val="0"/>
          <w:i w:val="0"/>
          <w:sz w:val="18"/>
        </w:rPr>
        <w:t>Five randomised trials, all providing individual participant data, were included, comprising 110,933 patient presentations (55,489 with the 0/1 h pathway and 55,444 with the 0/3 h pathway). All-cause death or new type 1 myocardial infarction within 30 days occurred in 446 (0·8%) versus 562 (1·0%) patient presentations (pooled OR 0·83 [95% CI 0·45-1·53]; I2=62·9%; τ2=0·143). Emergency department length of stay was 314 min (IQR 211-481) versus 308 min (209-453) (pooled geometric mean ratio 1·03 [95% CI 0·85-1·25]; I2=99·2%). Direct discharge occurred in 67·0% versus 65·8% (pooled OR 1·31 [95% CI 0·79-2·16]; I2=97·8%).</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gridCol w:w="3402"/>
      </w:tblGrid>
      <w:tr>
        <w:trPr>
          <w:cantSplit/>
        </w:trPr>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0·8% vs. 1·0%</w:t>
            </w:r>
          </w:p>
          <w:p>
            <w:pPr>
              <w:spacing w:before="0" w:after="0"/>
              <w:jc w:val="center"/>
            </w:pPr>
            <w:r>
              <w:rPr>
                <w:b/>
                <w:i w:val="0"/>
                <w:color w:val="2FB89A"/>
                <w:sz w:val="13"/>
              </w:rPr>
              <w:t>30-DAY DEATH/TYPE 1 MI</w:t>
            </w:r>
          </w:p>
          <w:p>
            <w:pPr>
              <w:spacing w:before="0" w:after="0"/>
              <w:jc w:val="center"/>
            </w:pPr>
            <w:r>
              <w:rPr>
                <w:b w:val="0"/>
                <w:i w:val="0"/>
                <w:color w:val="5C7370"/>
                <w:sz w:val="13"/>
              </w:rPr>
              <w:t>pooled OR 0·83, 95% CI 0·45-1·53</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314 vs. 308 min</w:t>
            </w:r>
          </w:p>
          <w:p>
            <w:pPr>
              <w:spacing w:before="0" w:after="0"/>
              <w:jc w:val="center"/>
            </w:pPr>
            <w:r>
              <w:rPr>
                <w:b/>
                <w:i w:val="0"/>
                <w:color w:val="2FB89A"/>
                <w:sz w:val="13"/>
              </w:rPr>
              <w:t>ED LENGTH OF STAY</w:t>
            </w:r>
          </w:p>
          <w:p>
            <w:pPr>
              <w:spacing w:before="0" w:after="0"/>
              <w:jc w:val="center"/>
            </w:pPr>
            <w:r>
              <w:rPr>
                <w:b w:val="0"/>
                <w:i w:val="0"/>
                <w:color w:val="5C7370"/>
                <w:sz w:val="13"/>
              </w:rPr>
              <w:t>geometric mean ratio 1·03, 95% CI 0·85-1·25</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67·0% vs. 65·8%</w:t>
            </w:r>
          </w:p>
          <w:p>
            <w:pPr>
              <w:spacing w:before="0" w:after="0"/>
              <w:jc w:val="center"/>
            </w:pPr>
            <w:r>
              <w:rPr>
                <w:b/>
                <w:i w:val="0"/>
                <w:color w:val="2FB89A"/>
                <w:sz w:val="13"/>
              </w:rPr>
              <w:t>DIRECT ED DISCHARGE</w:t>
            </w:r>
          </w:p>
          <w:p>
            <w:pPr>
              <w:spacing w:before="0" w:after="0"/>
              <w:jc w:val="center"/>
            </w:pPr>
            <w:r>
              <w:rPr>
                <w:b w:val="0"/>
                <w:i w:val="0"/>
                <w:color w:val="5C7370"/>
                <w:sz w:val="13"/>
              </w:rPr>
              <w:t>pooled OR 1·31, 95% CI 0·79-2·16</w:t>
            </w:r>
          </w:p>
        </w:tc>
      </w:tr>
    </w:tbl>
    <w:p>
      <w:pPr>
        <w:spacing w:before="80" w:after="240"/>
      </w:pPr>
      <w:r>
        <w:rPr>
          <w:b w:val="0"/>
          <w:i w:val="0"/>
          <w:color w:val="5C7370"/>
          <w:sz w:val="15"/>
        </w:rPr>
        <w:t xml:space="preserve">PMID 42956796   ·   </w:t>
      </w:r>
      <w:hyperlink r:id="rId11">
        <w:r>
          <w:rPr>
            <w:color w:val="2FB89A"/>
            <w:u w:val="single"/>
            <w:sz w:val="15"/>
            <w:b/>
          </w:rPr>
          <w:t>View on PubMed</w:t>
        </w:r>
      </w:hyperlink>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3"/>
        <w:gridCol w:w="5103"/>
      </w:tblGrid>
      <w:tr>
        <w:trPr>
          <w:cantSplit/>
        </w:trPr>
        <w:tc>
          <w:tcPr>
            <w:tcW w:type="dxa" w:w="5103"/>
            <w:shd w:val="clear" w:color="auto" w:fill="0F3D3A"/>
            <w:tcMar>
              <w:top w:w="90" w:type="dxa"/>
              <w:bottom w:w="90" w:type="dxa"/>
              <w:left w:w="120" w:type="dxa"/>
              <w:right w:w="120" w:type="dxa"/>
            </w:tcMar>
          </w:tcPr>
          <w:p>
            <w:pPr>
              <w:spacing w:before="0" w:after="0"/>
              <w:jc w:val="center"/>
            </w:pPr>
            <w:r>
              <w:rPr>
                <w:rFonts w:ascii="Georgia" w:hAnsi="Georgia"/>
                <w:b/>
                <w:i w:val="0"/>
                <w:color w:val="F7F4ED"/>
                <w:sz w:val="26"/>
              </w:rPr>
              <w:t>03</w:t>
            </w:r>
          </w:p>
        </w:tc>
        <w:tc>
          <w:tcPr>
            <w:tcW w:type="dxa" w:w="5103"/>
            <w:shd w:val="clear" w:color="auto" w:fill="F1F6F4"/>
            <w:tcMar>
              <w:top w:w="90" w:type="dxa"/>
              <w:bottom w:w="90" w:type="dxa"/>
              <w:left w:w="120" w:type="dxa"/>
              <w:right w:w="120" w:type="dxa"/>
            </w:tcMar>
          </w:tcPr>
          <w:p>
            <w:pPr>
              <w:spacing w:before="0" w:after="0"/>
            </w:pPr>
            <w:r>
              <w:rPr>
                <w:b/>
                <w:i w:val="0"/>
                <w:color w:val="2FB89A"/>
                <w:sz w:val="14"/>
              </w:rPr>
              <w:t>POST HOC RCT ANALYSIS · SMART-CHOICE 3 · N = 5,506</w:t>
            </w:r>
          </w:p>
        </w:tc>
      </w:tr>
    </w:tbl>
    <w:p>
      <w:pPr>
        <w:keepNext/>
        <w:spacing w:before="100" w:after="20"/>
      </w:pPr>
      <w:r>
        <w:rPr>
          <w:rFonts w:ascii="Georgia" w:hAnsi="Georgia"/>
          <w:b/>
          <w:i w:val="0"/>
          <w:sz w:val="23"/>
        </w:rPr>
        <w:t>Clopidogrel Versus Aspirin Monotherapy According to Atherothrombotic Risk Profile</w:t>
      </w:r>
    </w:p>
    <w:p>
      <w:pPr>
        <w:keepNext/>
        <w:spacing w:before="0" w:after="100"/>
      </w:pPr>
      <w:r>
        <w:rPr>
          <w:b w:val="0"/>
          <w:i w:val="0"/>
          <w:color w:val="5C7370"/>
          <w:sz w:val="15"/>
        </w:rPr>
        <w:t>Circulation: Cardiovascular Interventions  ·  Oct 29, 2026</w:t>
      </w:r>
    </w:p>
    <w:p>
      <w:pPr>
        <w:keepNext/>
        <w:spacing w:before="0" w:after="20"/>
      </w:pPr>
      <w:r>
        <w:rPr>
          <w:b/>
          <w:i w:val="0"/>
          <w:color w:val="2FB89A"/>
          <w:sz w:val="14"/>
        </w:rPr>
        <w:t>WHY IT MATTERS</w:t>
      </w:r>
    </w:p>
    <w:p>
      <w:pPr>
        <w:keepNext/>
        <w:spacing w:before="0" w:after="80"/>
      </w:pPr>
      <w:r>
        <w:rPr>
          <w:b w:val="0"/>
          <w:i w:val="0"/>
          <w:sz w:val="18"/>
        </w:rPr>
        <w:t>This post hoc analysis of the SMART-CHOICE 3 randomized trial compared clopidogrel with aspirin monotherapy in patients who completed dual antiplatelet therapy after PCI, stratified by atherothrombotic risk (TIMI Risk Score for Secondary Prevention and complex PCI). The background states that it was unclear whether treatment effects differ by overall atherothrombotic risk integrating clinical and angiographic factors.</w:t>
      </w:r>
    </w:p>
    <w:p>
      <w:pPr>
        <w:keepNext/>
        <w:spacing w:before="0" w:after="20"/>
      </w:pPr>
      <w:r>
        <w:rPr>
          <w:b/>
          <w:i w:val="0"/>
          <w:color w:val="2FB89A"/>
          <w:sz w:val="14"/>
        </w:rPr>
        <w:t>KEY FINDING</w:t>
      </w:r>
    </w:p>
    <w:p>
      <w:pPr>
        <w:keepNext/>
        <w:spacing w:before="0" w:after="80"/>
      </w:pPr>
      <w:r>
        <w:rPr>
          <w:b w:val="0"/>
          <w:i w:val="0"/>
          <w:sz w:val="18"/>
        </w:rPr>
        <w:t>Of 5,506 patients, 4,486 (81.5%) were classified as higher risk and 1,020 (18.5%) as lower risk. Over a median 2.3 years, MACCE occurred in 6.1% of higher-risk versus 3.1% of lower-risk patients (HR 1.83 [95% CI 1.17-2.78]; P=0.007). In higher-risk patients, MACCE was 4.6% with clopidogrel versus 7.4% with aspirin (HR 0.67 [95% CI 0.50-0.89]; P=0.006). In lower-risk patients, it was 3.0% versus 3.2% (HR 1.03; P=0.945; interaction P=0.242). Bleeding (BARC type 2, 3, or 5) was similar between groups.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gridCol w:w="3402"/>
      </w:tblGrid>
      <w:tr>
        <w:trPr>
          <w:cantSplit/>
        </w:trPr>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4.6% vs. 7.4%</w:t>
            </w:r>
          </w:p>
          <w:p>
            <w:pPr>
              <w:spacing w:before="0" w:after="0"/>
              <w:jc w:val="center"/>
            </w:pPr>
            <w:r>
              <w:rPr>
                <w:b/>
                <w:i w:val="0"/>
                <w:color w:val="2FB89A"/>
                <w:sz w:val="13"/>
              </w:rPr>
              <w:t>MACCE, HIGHER-RISK PATIENTS</w:t>
            </w:r>
          </w:p>
          <w:p>
            <w:pPr>
              <w:spacing w:before="0" w:after="0"/>
              <w:jc w:val="center"/>
            </w:pPr>
            <w:r>
              <w:rPr>
                <w:b w:val="0"/>
                <w:i w:val="0"/>
                <w:color w:val="5C7370"/>
                <w:sz w:val="13"/>
              </w:rPr>
              <w:t>Clopidogrel vs. aspirin; HR 0.67 (95% CI 0.50-0.89)</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6.1% vs. 3.1%</w:t>
            </w:r>
          </w:p>
          <w:p>
            <w:pPr>
              <w:spacing w:before="0" w:after="0"/>
              <w:jc w:val="center"/>
            </w:pPr>
            <w:r>
              <w:rPr>
                <w:b/>
                <w:i w:val="0"/>
                <w:color w:val="2FB89A"/>
                <w:sz w:val="13"/>
              </w:rPr>
              <w:t>MACCE BY RISK GROUP</w:t>
            </w:r>
          </w:p>
          <w:p>
            <w:pPr>
              <w:spacing w:before="0" w:after="0"/>
              <w:jc w:val="center"/>
            </w:pPr>
            <w:r>
              <w:rPr>
                <w:b w:val="0"/>
                <w:i w:val="0"/>
                <w:color w:val="5C7370"/>
                <w:sz w:val="13"/>
              </w:rPr>
              <w:t>Higher vs. lower risk; HR 1.83 (95% CI 1.17-2.78)</w:t>
            </w:r>
          </w:p>
        </w:tc>
        <w:tc>
          <w:tcPr>
            <w:tcW w:type="dxa" w:w="3402"/>
            <w:shd w:val="clear" w:color="auto" w:fill="E8F5EF"/>
            <w:tcMar>
              <w:top w:w="90" w:type="dxa"/>
              <w:bottom w:w="90" w:type="dxa"/>
              <w:left w:w="120" w:type="dxa"/>
              <w:right w:w="120" w:type="dxa"/>
            </w:tcMar>
          </w:tcPr>
          <w:p>
            <w:pPr>
              <w:spacing w:before="0" w:after="0"/>
              <w:jc w:val="center"/>
            </w:pPr>
            <w:r>
              <w:rPr>
                <w:b/>
                <w:i w:val="0"/>
                <w:color w:val="0A2C2A"/>
                <w:sz w:val="21"/>
              </w:rPr>
              <w:t>3.0% vs. 3.2%</w:t>
            </w:r>
          </w:p>
          <w:p>
            <w:pPr>
              <w:spacing w:before="0" w:after="0"/>
              <w:jc w:val="center"/>
            </w:pPr>
            <w:r>
              <w:rPr>
                <w:b/>
                <w:i w:val="0"/>
                <w:color w:val="2FB89A"/>
                <w:sz w:val="13"/>
              </w:rPr>
              <w:t>MACCE, LOWER-RISK PATIENTS</w:t>
            </w:r>
          </w:p>
          <w:p>
            <w:pPr>
              <w:spacing w:before="0" w:after="0"/>
              <w:jc w:val="center"/>
            </w:pPr>
            <w:r>
              <w:rPr>
                <w:b w:val="0"/>
                <w:i w:val="0"/>
                <w:color w:val="5C7370"/>
                <w:sz w:val="13"/>
              </w:rPr>
              <w:t>Clopidogrel vs. aspirin; HR 1.03; P=0.945</w:t>
            </w:r>
          </w:p>
        </w:tc>
      </w:tr>
    </w:tbl>
    <w:p>
      <w:pPr>
        <w:spacing w:before="80" w:after="240"/>
      </w:pPr>
      <w:r>
        <w:rPr>
          <w:b w:val="0"/>
          <w:i w:val="0"/>
          <w:color w:val="5C7370"/>
          <w:sz w:val="15"/>
        </w:rPr>
        <w:t xml:space="preserve">PMID 42953942   ·   </w:t>
      </w:r>
      <w:hyperlink r:id="rId12">
        <w:r>
          <w:rPr>
            <w:color w:val="2FB89A"/>
            <w:u w:val="single"/>
            <w:sz w:val="15"/>
            <w:b/>
          </w:rPr>
          <w:t>View on PubMed</w:t>
        </w:r>
      </w:hyperlink>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6"/>
      </w:tblGrid>
      <w:tr>
        <w:trPr>
          <w:cantSplit/>
        </w:trPr>
        <w:tc>
          <w:tcPr>
            <w:tcW w:type="dxa" w:w="10206"/>
            <w:shd w:val="clear" w:color="auto" w:fill="FBF4E8"/>
            <w:tcMar>
              <w:top w:w="90" w:type="dxa"/>
              <w:bottom w:w="90" w:type="dxa"/>
              <w:left w:w="120" w:type="dxa"/>
              <w:right w:w="120" w:type="dxa"/>
            </w:tcMar>
          </w:tcPr>
          <w:p>
            <w:pPr>
              <w:spacing w:before="0" w:after="40"/>
            </w:pPr>
            <w:r>
              <w:rPr>
                <w:b/>
                <w:i w:val="0"/>
                <w:color w:val="0A2C2A"/>
                <w:sz w:val="14"/>
              </w:rPr>
              <w:t>SOURCE STANDARDS</w:t>
            </w:r>
          </w:p>
          <w:p>
            <w:pPr>
              <w:spacing w:before="0" w:after="0"/>
            </w:pPr>
            <w:r>
              <w:rPr>
                <w:b w:val="0"/>
                <w:i/>
                <w:color w:val="5C7370"/>
                <w:sz w:val="13"/>
              </w:rPr>
              <w:t>CLARITY is an independent medical literature curation service and is not affiliated with or endorsed by the journals or societies named. This document is provided solely for information and continuing education and does not constitute medical advice, a treatment recommendation, or clinical guidance. AI-generated summaries may contain errors; the original publication remains the authoritative source.</w:t>
            </w:r>
          </w:p>
        </w:tc>
      </w:tr>
    </w:tbl>
    <w:sectPr w:rsidR="00FC693F" w:rsidRPr="0006063C" w:rsidSect="00034616">
      <w:footerReference w:type="default" r:id="rId9"/>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C7370"/>
        <w:sz w:val="13"/>
      </w:rPr>
      <w:t>CLARITY  ·  Cardiology  ·  Short Edition  ·  Oct 30,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16302E"/>
      <w:sz w:val="1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42949742/" TargetMode="External"/><Relationship Id="rId11" Type="http://schemas.openxmlformats.org/officeDocument/2006/relationships/hyperlink" Target="https://pubmed.ncbi.nlm.nih.gov/42956796/" TargetMode="External"/><Relationship Id="rId12" Type="http://schemas.openxmlformats.org/officeDocument/2006/relationships/hyperlink" Target="https://pubmed.ncbi.nlm.nih.gov/42953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 Cardiology - Short Edition - 2026-10-30</dc:title>
  <dc:subject/>
  <dc:creator>CLARITY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