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trHeight w:val="4176" w:hRule="exact"/>
        </w:trPr>
        <w:tc>
          <w:tcPr>
            <w:tcW w:type="dxa" w:w="9936"/>
            <w:shd w:val="clear" w:color="auto" w:fill="0F3D3A"/>
          </w:tcPr>
          <w:p>
            <w:pPr>
              <w:spacing w:before="0" w:after="800"/>
            </w:pPr>
          </w:p>
          <w:p>
            <w:pPr>
              <w:spacing w:before="0" w:after="40"/>
              <w:jc w:val="center"/>
            </w:pPr>
            <w:r>
              <w:rPr>
                <w:b/>
                <w:i w:val="0"/>
                <w:color w:val="F7F4ED"/>
                <w:sz w:val="80"/>
              </w:rPr>
              <w:t>CLARITY</w:t>
            </w:r>
          </w:p>
          <w:p>
            <w:pPr>
              <w:spacing w:before="0" w:after="0"/>
              <w:jc w:val="center"/>
            </w:pPr>
            <w:r>
              <w:rPr>
                <w:b w:val="0"/>
                <w:i w:val="0"/>
                <w:color w:val="2FB89A"/>
                <w:sz w:val="22"/>
              </w:rPr>
              <w:t>Real insights in seconds</w:t>
            </w:r>
          </w:p>
        </w:tc>
      </w:tr>
    </w:tbl>
    <w:p>
      <w:pPr>
        <w:spacing w:before="0" w:after="520"/>
      </w:pPr>
    </w:p>
    <w:p>
      <w:pPr>
        <w:spacing w:before="0" w:after="80"/>
        <w:jc w:val="center"/>
      </w:pPr>
      <w:r>
        <w:rPr>
          <w:b/>
          <w:i w:val="0"/>
          <w:color w:val="0F3D3A"/>
          <w:sz w:val="30"/>
        </w:rPr>
        <w:t>The most relevant publications of the week</w:t>
      </w:r>
    </w:p>
    <w:p>
      <w:pPr>
        <w:spacing w:before="0" w:after="440"/>
        <w:jc w:val="center"/>
      </w:pPr>
      <w:r>
        <w:rPr>
          <w:b w:val="0"/>
          <w:i w:val="0"/>
          <w:color w:val="5C7370"/>
          <w:sz w:val="21"/>
        </w:rPr>
        <w:t>Cardiology   ·   2026-09-20   ·   11 studies across 4 subspecialties</w:t>
      </w:r>
    </w:p>
    <w:p>
      <w:pPr>
        <w:spacing w:before="0" w:after="40"/>
      </w:pPr>
      <w:r>
        <w:rPr>
          <w:b/>
          <w:i w:val="0"/>
          <w:color w:val="0F3D3A"/>
          <w:sz w:val="28"/>
        </w:rPr>
        <w:t>Contents</w:t>
      </w:r>
    </w:p>
    <w:p>
      <w:pPr>
        <w:spacing w:before="0" w:after="160"/>
      </w:pPr>
      <w:r>
        <w:rPr>
          <w:b w:val="0"/>
          <w:i w:val="0"/>
          <w:color w:val="5C7370"/>
          <w:sz w:val="18"/>
        </w:rPr>
        <w:t>AI-curated from the leading cardiology-relevant journals of the last 7 days.</w:t>
      </w:r>
    </w:p>
    <w:p>
      <w:pPr>
        <w:spacing w:after="60"/>
      </w:pPr>
      <w:r>
        <w:rPr>
          <w:color w:val="2FB89A"/>
          <w:sz w:val="20"/>
        </w:rPr>
        <w:t xml:space="preserve">● </w:t>
      </w:r>
      <w:r>
        <w:rPr>
          <w:color w:val="16302E"/>
          <w:sz w:val="21"/>
        </w:rPr>
        <w:t>Electrophysiology &amp; Devices</w:t>
      </w:r>
      <w:r>
        <w:rPr>
          <w:color w:val="5C7370"/>
          <w:sz w:val="19"/>
        </w:rPr>
        <w:t xml:space="preserve">  — 4 studies</w:t>
      </w:r>
    </w:p>
    <w:p>
      <w:pPr>
        <w:spacing w:after="60"/>
      </w:pPr>
      <w:r>
        <w:rPr>
          <w:color w:val="2FB89A"/>
          <w:sz w:val="20"/>
        </w:rPr>
        <w:t xml:space="preserve">● </w:t>
      </w:r>
      <w:r>
        <w:rPr>
          <w:color w:val="16302E"/>
          <w:sz w:val="21"/>
        </w:rPr>
        <w:t>Structural Heart Disease</w:t>
      </w:r>
      <w:r>
        <w:rPr>
          <w:color w:val="5C7370"/>
          <w:sz w:val="19"/>
        </w:rPr>
        <w:t xml:space="preserve">  — 4 studies</w:t>
      </w:r>
    </w:p>
    <w:p>
      <w:pPr>
        <w:spacing w:after="60"/>
      </w:pPr>
      <w:r>
        <w:rPr>
          <w:color w:val="2FB89A"/>
          <w:sz w:val="20"/>
        </w:rPr>
        <w:t xml:space="preserve">● </w:t>
      </w:r>
      <w:r>
        <w:rPr>
          <w:color w:val="16302E"/>
          <w:sz w:val="21"/>
        </w:rPr>
        <w:t>Coronary Artery Disease / ACS</w:t>
      </w:r>
      <w:r>
        <w:rPr>
          <w:color w:val="5C7370"/>
          <w:sz w:val="19"/>
        </w:rPr>
        <w:t xml:space="preserve">  — 1 study</w:t>
      </w:r>
    </w:p>
    <w:p>
      <w:pPr>
        <w:spacing w:after="60"/>
      </w:pPr>
      <w:r>
        <w:rPr>
          <w:color w:val="2FB89A"/>
          <w:sz w:val="20"/>
        </w:rPr>
        <w:t xml:space="preserve">● </w:t>
      </w:r>
      <w:r>
        <w:rPr>
          <w:color w:val="16302E"/>
          <w:sz w:val="21"/>
        </w:rPr>
        <w:t>Prevention, Lipids &amp; Sports Cardiology</w:t>
      </w:r>
      <w:r>
        <w:rPr>
          <w:color w:val="5C7370"/>
          <w:sz w:val="19"/>
        </w:rPr>
        <w:t xml:space="preserve">  — 2 studies</w:t>
      </w:r>
    </w:p>
    <w:p>
      <w:r>
        <w:br w:type="page"/>
      </w:r>
    </w:p>
    <w:p>
      <w:pPr>
        <w:spacing w:before="0" w:after="40"/>
      </w:pPr>
      <w:r>
        <w:rPr>
          <w:b/>
          <w:i w:val="0"/>
          <w:color w:val="2FB89A"/>
          <w:sz w:val="16"/>
        </w:rPr>
        <w:t>ELECTROPHYSIOLOGY &amp; DEVICES</w:t>
      </w:r>
    </w:p>
    <w:p>
      <w:pPr>
        <w:spacing w:after="20"/>
      </w:pPr>
      <w:r>
        <w:rPr>
          <w:b/>
          <w:color w:val="2FB89A"/>
          <w:sz w:val="30"/>
        </w:rPr>
        <w:t xml:space="preserve">1  </w:t>
      </w:r>
      <w:r>
        <w:rPr>
          <w:b/>
          <w:color w:val="16302E"/>
          <w:sz w:val="30"/>
        </w:rPr>
        <w:t>Yield of Atrial Fibrillation Screening according to Methodology and Patient Characteristics: An Individual Participant Data Meta-Analysis of 34,165 Individuals Screened for Atrial Fibrillation within the AFFECT-EU/AF-SCREEN Collaboration.</w:t>
      </w:r>
    </w:p>
    <w:p>
      <w:pPr>
        <w:spacing w:before="0" w:after="40"/>
      </w:pPr>
      <w:r>
        <w:rPr>
          <w:b w:val="0"/>
          <w:i w:val="0"/>
          <w:color w:val="5C7370"/>
          <w:sz w:val="17"/>
        </w:rPr>
        <w:t>Europace · 2026 Sep 18 · Xing L., McIntyre W., Engdahl J. et al.</w:t>
      </w:r>
    </w:p>
    <w:p>
      <w:pPr>
        <w:spacing w:before="0" w:after="120"/>
      </w:pPr>
      <w:r>
        <w:rPr>
          <w:b/>
          <w:i w:val="0"/>
          <w:color w:val="0F3D3A"/>
          <w:sz w:val="16"/>
        </w:rPr>
        <w:t>● META-ANALYSIS / SYSTEMATIC REVIEW</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968"/>
        <w:gridCol w:w="4968"/>
      </w:tblGrid>
      <w:tr>
        <w:trPr>
          <w:cantSplit/>
        </w:trPr>
        <w:tc>
          <w:tcPr>
            <w:tcW w:type="dxa" w:w="4968"/>
            <w:shd w:val="clear" w:color="auto" w:fill="F0F6F3"/>
          </w:tcPr>
          <w:p>
            <w:pPr>
              <w:spacing w:before="0" w:after="0"/>
            </w:pPr>
            <w:r>
              <w:rPr>
                <w:b/>
                <w:i w:val="0"/>
                <w:color w:val="0F3D3A"/>
                <w:sz w:val="22"/>
              </w:rPr>
              <w:t>Individual participant data meta-analysis of 12 study cohorts</w:t>
            </w:r>
          </w:p>
          <w:p>
            <w:pPr>
              <w:spacing w:before="0" w:after="0"/>
            </w:pPr>
            <w:r>
              <w:rPr>
                <w:b w:val="0"/>
                <w:i w:val="0"/>
                <w:color w:val="5C7370"/>
                <w:sz w:val="14"/>
              </w:rPr>
              <w:t>DESIGN</w:t>
            </w:r>
          </w:p>
        </w:tc>
        <w:tc>
          <w:tcPr>
            <w:tcW w:type="dxa" w:w="4968"/>
            <w:shd w:val="clear" w:color="auto" w:fill="F0F6F3"/>
          </w:tcPr>
          <w:p>
            <w:pPr>
              <w:spacing w:before="0" w:after="0"/>
            </w:pPr>
            <w:r>
              <w:rPr>
                <w:b/>
                <w:i w:val="0"/>
                <w:color w:val="0F3D3A"/>
                <w:sz w:val="22"/>
              </w:rPr>
              <w:t>34165</w:t>
            </w:r>
          </w:p>
          <w:p>
            <w:pPr>
              <w:spacing w:before="0" w:after="0"/>
            </w:pPr>
            <w:r>
              <w:rPr>
                <w:b w:val="0"/>
                <w:i w:val="0"/>
                <w:color w:val="5C7370"/>
                <w:sz w:val="14"/>
              </w:rPr>
              <w:t>PARTICIPANTS</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Single-timepoint screening yield</w:t>
            </w:r>
          </w:p>
        </w:tc>
        <w:tc>
          <w:tcPr>
            <w:tcW w:type="dxa" w:w="4471"/>
          </w:tcPr>
          <w:p>
            <w:pPr>
              <w:spacing w:before="0" w:after="0"/>
            </w:pPr>
            <w:r>
              <w:rPr>
                <w:b/>
                <w:i w:val="0"/>
                <w:color w:val="0F3D3A"/>
                <w:sz w:val="17"/>
              </w:rPr>
              <w:t>0.83% [95% CI: 0.24-2.87]</w:t>
            </w:r>
          </w:p>
        </w:tc>
      </w:tr>
      <w:tr>
        <w:trPr>
          <w:cantSplit/>
        </w:trPr>
        <w:tc>
          <w:tcPr>
            <w:tcW w:type="dxa" w:w="5465"/>
            <w:shd w:val="clear" w:color="auto" w:fill="F5F9F7"/>
          </w:tcPr>
          <w:p>
            <w:pPr>
              <w:spacing w:before="0" w:after="0"/>
            </w:pPr>
            <w:r>
              <w:rPr>
                <w:b w:val="0"/>
                <w:i w:val="0"/>
                <w:color w:val="16302E"/>
                <w:sz w:val="17"/>
              </w:rPr>
              <w:t>Intermittent screening yield</w:t>
            </w:r>
          </w:p>
        </w:tc>
        <w:tc>
          <w:tcPr>
            <w:tcW w:type="dxa" w:w="4471"/>
            <w:shd w:val="clear" w:color="auto" w:fill="F5F9F7"/>
          </w:tcPr>
          <w:p>
            <w:pPr>
              <w:spacing w:before="0" w:after="0"/>
            </w:pPr>
            <w:r>
              <w:rPr>
                <w:b/>
                <w:i w:val="0"/>
                <w:color w:val="0F3D3A"/>
                <w:sz w:val="17"/>
              </w:rPr>
              <w:t>5.06% [95% CI: 3.55-7.17]</w:t>
            </w:r>
          </w:p>
        </w:tc>
      </w:tr>
      <w:tr>
        <w:trPr>
          <w:cantSplit/>
        </w:trPr>
        <w:tc>
          <w:tcPr>
            <w:tcW w:type="dxa" w:w="5465"/>
          </w:tcPr>
          <w:p>
            <w:pPr>
              <w:spacing w:before="0" w:after="0"/>
            </w:pPr>
            <w:r>
              <w:rPr>
                <w:b w:val="0"/>
                <w:i w:val="0"/>
                <w:color w:val="16302E"/>
                <w:sz w:val="17"/>
              </w:rPr>
              <w:t>Short-term continuous monitoring (≤30 days) yield</w:t>
            </w:r>
          </w:p>
        </w:tc>
        <w:tc>
          <w:tcPr>
            <w:tcW w:type="dxa" w:w="4471"/>
          </w:tcPr>
          <w:p>
            <w:pPr>
              <w:spacing w:before="0" w:after="0"/>
            </w:pPr>
            <w:r>
              <w:rPr>
                <w:b/>
                <w:i w:val="0"/>
                <w:color w:val="0F3D3A"/>
                <w:sz w:val="17"/>
              </w:rPr>
              <w:t>4.81% [95% CI: 3.79-6.08]</w:t>
            </w:r>
          </w:p>
        </w:tc>
      </w:tr>
      <w:tr>
        <w:trPr>
          <w:cantSplit/>
        </w:trPr>
        <w:tc>
          <w:tcPr>
            <w:tcW w:type="dxa" w:w="5465"/>
            <w:shd w:val="clear" w:color="auto" w:fill="F5F9F7"/>
          </w:tcPr>
          <w:p>
            <w:pPr>
              <w:spacing w:before="0" w:after="0"/>
            </w:pPr>
            <w:r>
              <w:rPr>
                <w:b w:val="0"/>
                <w:i w:val="0"/>
                <w:color w:val="16302E"/>
                <w:sz w:val="17"/>
              </w:rPr>
              <w:t>Long-term continuous monitoring (&gt;30 days) yield</w:t>
            </w:r>
          </w:p>
        </w:tc>
        <w:tc>
          <w:tcPr>
            <w:tcW w:type="dxa" w:w="4471"/>
            <w:shd w:val="clear" w:color="auto" w:fill="F5F9F7"/>
          </w:tcPr>
          <w:p>
            <w:pPr>
              <w:spacing w:before="0" w:after="0"/>
            </w:pPr>
            <w:r>
              <w:rPr>
                <w:b/>
                <w:i w:val="0"/>
                <w:color w:val="0F3D3A"/>
                <w:sz w:val="17"/>
              </w:rPr>
              <w:t>30.39% [95% CI: 28.06-32.84]</w:t>
            </w:r>
          </w:p>
        </w:tc>
      </w:tr>
      <w:tr>
        <w:trPr>
          <w:cantSplit/>
        </w:trPr>
        <w:tc>
          <w:tcPr>
            <w:tcW w:type="dxa" w:w="5465"/>
          </w:tcPr>
          <w:p>
            <w:pPr>
              <w:spacing w:before="0" w:after="0"/>
            </w:pPr>
            <w:r>
              <w:rPr>
                <w:b w:val="0"/>
                <w:i w:val="0"/>
                <w:color w:val="16302E"/>
                <w:sz w:val="17"/>
              </w:rPr>
              <w:t>Mean age</w:t>
            </w:r>
          </w:p>
        </w:tc>
        <w:tc>
          <w:tcPr>
            <w:tcW w:type="dxa" w:w="4471"/>
          </w:tcPr>
          <w:p>
            <w:pPr>
              <w:spacing w:before="0" w:after="0"/>
            </w:pPr>
            <w:r>
              <w:rPr>
                <w:b/>
                <w:i w:val="0"/>
                <w:color w:val="0F3D3A"/>
                <w:sz w:val="17"/>
              </w:rPr>
              <w:t>73.4 ± 7.5 years</w:t>
            </w:r>
          </w:p>
        </w:tc>
      </w:tr>
      <w:tr>
        <w:trPr>
          <w:cantSplit/>
        </w:trPr>
        <w:tc>
          <w:tcPr>
            <w:tcW w:type="dxa" w:w="5465"/>
            <w:shd w:val="clear" w:color="auto" w:fill="F5F9F7"/>
          </w:tcPr>
          <w:p>
            <w:pPr>
              <w:spacing w:before="0" w:after="0"/>
            </w:pPr>
            <w:r>
              <w:rPr>
                <w:b w:val="0"/>
                <w:i w:val="0"/>
                <w:color w:val="16302E"/>
                <w:sz w:val="17"/>
              </w:rPr>
              <w:t>Female sex proportion</w:t>
            </w:r>
          </w:p>
        </w:tc>
        <w:tc>
          <w:tcPr>
            <w:tcW w:type="dxa" w:w="4471"/>
            <w:shd w:val="clear" w:color="auto" w:fill="F5F9F7"/>
          </w:tcPr>
          <w:p>
            <w:pPr>
              <w:spacing w:before="0" w:after="0"/>
            </w:pPr>
            <w:r>
              <w:rPr>
                <w:b/>
                <w:i w:val="0"/>
                <w:color w:val="0F3D3A"/>
                <w:sz w:val="17"/>
              </w:rPr>
              <w:t>53.5%</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The study addresses the diagnostic yield of different atrial fibrillation (AF) screening methodologies and evaluates how patient characteristics influence detection rates. The authors note that AF screening may reduce adverse outcomes through the early initiation of preventive treatment. To examine this question, the investigators conducted an individual participant data meta-analysis across 12 European and North American study cohorts. Statistical analysis was performed using generalized linear mixed models with a random intercept at the study level. The meta-analysis included a total of 34,165 participants who were screened for AF. The mean age of the overall population was 73.4 ± 7.5 years, and 53.5% of the participants were female. The overall screening yield increased progressively with more intensive diagnostic approaches. Single-timepoint screening demonstrated an AF detection yield of 0.83% (95% CI: 0.24–2.87). Intermittent screening, defined as repeated single-timepoint assessments, resulted in a detection yield of 5.06% (95% CI: 3.55–7.17). Short-term continuous monitoring (≤30 days) had a yield of 4.81% (95% CI: 3.79–6.08), whereas long-term continuous monitoring (&gt;30 days) reached a yield of 30.39% (95% CI: 28.06–32.84). Detection was associated with advanced age, male sex, hypertension, and heart failure. Significant interactions were observed between screening approach and age, sex, heart failure, CHADS2 score, and NT-proBNP levels, with risk factors having a stronger influence on single-timepoint screening than on more intensive methods. The authors indicate that further studies assessing clinical outcomes following screening are needed and currently underway.</w:t>
      </w:r>
    </w:p>
    <w:p>
      <w:pPr>
        <w:spacing w:before="180" w:after="20"/>
      </w:pPr>
      <w:r>
        <w:rPr>
          <w:b/>
          <w:i w:val="0"/>
          <w:color w:val="2FB89A"/>
          <w:sz w:val="16"/>
        </w:rPr>
        <w:t>RELATION TO EXISTING EVIDENCE</w:t>
      </w:r>
    </w:p>
    <w:p>
      <w:pPr>
        <w:spacing w:before="0" w:after="40"/>
      </w:pPr>
      <w:r>
        <w:rPr>
          <w:b w:val="0"/>
          <w:i w:val="0"/>
          <w:color w:val="16302E"/>
          <w:sz w:val="19"/>
        </w:rPr>
        <w:t>Screening for atrial fibrillation encompasses diverse modalities ranging from single-timepoint evaluations to prolonged continuous rhythm monitoring. This meta-analysis provides comparative yield estimates across these modalities, demonstrating higher diagnostic rates with extended monitoring durations and specific clinical risk profiles.</w:t>
      </w:r>
    </w:p>
    <w:p>
      <w:pPr>
        <w:spacing w:before="180" w:after="20"/>
      </w:pPr>
      <w:r>
        <w:rPr>
          <w:b/>
          <w:i w:val="0"/>
          <w:color w:val="2FB89A"/>
          <w:sz w:val="16"/>
        </w:rPr>
        <w:t>RELATION TO GUIDELINES</w:t>
      </w:r>
    </w:p>
    <w:p>
      <w:pPr>
        <w:spacing w:before="0" w:after="40"/>
      </w:pPr>
      <w:r>
        <w:rPr>
          <w:b w:val="0"/>
          <w:i w:val="0"/>
          <w:color w:val="16302E"/>
          <w:sz w:val="19"/>
        </w:rPr>
        <w:t>Current cardiology guidelines discuss opportunistic and systematic screening approaches for atrial fibrillation in targeted populations based on age and clinical risk factors. These findings refine the evidence base by quantifying how specific modalities and risk factor profiles alter diagnostic yield.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AF screening yield varies substantially by patient characteristics and screening approach, with advanced age, male sex, and heart failure independently associated with greater detection, particularly in single-timepoint screening. They state that these findings support tailoring the screening approach to the individual target population in clinical practice.</w:t>
            </w:r>
          </w:p>
        </w:tc>
      </w:tr>
    </w:tbl>
    <w:p>
      <w:pPr>
        <w:spacing w:before="0" w:after="80"/>
      </w:pPr>
    </w:p>
    <w:p>
      <w:pPr>
        <w:spacing w:before="120"/>
      </w:pPr>
      <w:hyperlink r:id="rId10">
        <w:r>
          <w:rPr>
            <w:color w:val="2FB89A"/>
            <w:u w:val="single"/>
            <w:sz w:val="16"/>
          </w:rPr>
          <w:t>View on PubMed</w:t>
        </w:r>
      </w:hyperlink>
      <w:r>
        <w:rPr>
          <w:color w:val="5C7370"/>
          <w:sz w:val="16"/>
        </w:rPr>
        <w:t xml:space="preserve">  ·  DOI: 10.1093/europace/euag256</w:t>
      </w:r>
    </w:p>
    <w:p>
      <w:r>
        <w:br w:type="page"/>
      </w:r>
    </w:p>
    <w:p>
      <w:pPr>
        <w:spacing w:before="0" w:after="40"/>
      </w:pPr>
      <w:r>
        <w:rPr>
          <w:b/>
          <w:i w:val="0"/>
          <w:color w:val="2FB89A"/>
          <w:sz w:val="16"/>
        </w:rPr>
        <w:t>ELECTROPHYSIOLOGY &amp; DEVICES</w:t>
      </w:r>
    </w:p>
    <w:p>
      <w:pPr>
        <w:spacing w:after="20"/>
      </w:pPr>
      <w:r>
        <w:rPr>
          <w:b/>
          <w:color w:val="2FB89A"/>
          <w:sz w:val="30"/>
        </w:rPr>
        <w:t xml:space="preserve">2  </w:t>
      </w:r>
      <w:r>
        <w:rPr>
          <w:b/>
          <w:color w:val="16302E"/>
          <w:sz w:val="30"/>
        </w:rPr>
        <w:t>Early rhythm control in patients with atrial fibrillation and cancer: A subgroup analysis of the EAST-AFNET 4 trial.</w:t>
      </w:r>
    </w:p>
    <w:p>
      <w:pPr>
        <w:spacing w:before="0" w:after="40"/>
      </w:pPr>
      <w:r>
        <w:rPr>
          <w:b w:val="0"/>
          <w:i w:val="0"/>
          <w:color w:val="5C7370"/>
          <w:sz w:val="17"/>
        </w:rPr>
        <w:t>Europace · 2026 Sep 18 · Ismaili D., Suling A., Borof K. et al.</w:t>
      </w:r>
    </w:p>
    <w:p>
      <w:pPr>
        <w:spacing w:before="0" w:after="120"/>
      </w:pPr>
      <w:r>
        <w:rPr>
          <w:b/>
          <w:i w:val="0"/>
          <w:color w:val="0F3D3A"/>
          <w:sz w:val="16"/>
        </w:rPr>
        <w:t>● RCT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Secondary subgroup analysis of a randomized controlled trial</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2779</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Up to 8.6 years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OTHER ENDPOINTS</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3974"/>
            <w:shd w:val="clear" w:color="auto" w:fill="0F3D3A"/>
          </w:tcPr>
          <w:p>
            <w:pPr>
              <w:spacing w:before="0" w:after="0"/>
            </w:pPr>
            <w:r>
              <w:rPr>
                <w:b/>
                <w:i w:val="0"/>
                <w:color w:val="FFFFFF"/>
                <w:sz w:val="15"/>
              </w:rPr>
              <w:t>Endpoint</w:t>
            </w:r>
          </w:p>
        </w:tc>
        <w:tc>
          <w:tcPr>
            <w:tcW w:type="dxa" w:w="1590"/>
            <w:shd w:val="clear" w:color="auto" w:fill="0F3D3A"/>
          </w:tcPr>
          <w:p>
            <w:pPr>
              <w:spacing w:before="0" w:after="0"/>
            </w:pPr>
            <w:r>
              <w:rPr>
                <w:b/>
                <w:i w:val="0"/>
                <w:color w:val="FFFFFF"/>
                <w:sz w:val="15"/>
              </w:rPr>
              <w:t>Arm 1</w:t>
            </w:r>
          </w:p>
        </w:tc>
        <w:tc>
          <w:tcPr>
            <w:tcW w:type="dxa" w:w="1590"/>
            <w:shd w:val="clear" w:color="auto" w:fill="0F3D3A"/>
          </w:tcPr>
          <w:p>
            <w:pPr>
              <w:spacing w:before="0" w:after="0"/>
            </w:pPr>
            <w:r>
              <w:rPr>
                <w:b/>
                <w:i w:val="0"/>
                <w:color w:val="FFFFFF"/>
                <w:sz w:val="15"/>
              </w:rPr>
              <w:t>Arm 2</w:t>
            </w:r>
          </w:p>
        </w:tc>
        <w:tc>
          <w:tcPr>
            <w:tcW w:type="dxa" w:w="2782"/>
            <w:shd w:val="clear" w:color="auto" w:fill="0F3D3A"/>
          </w:tcPr>
          <w:p>
            <w:pPr>
              <w:spacing w:before="0" w:after="0"/>
            </w:pPr>
            <w:r>
              <w:rPr>
                <w:b/>
                <w:i w:val="0"/>
                <w:color w:val="FFFFFF"/>
                <w:sz w:val="15"/>
              </w:rPr>
              <w:t>Effect</w:t>
            </w:r>
          </w:p>
        </w:tc>
      </w:tr>
      <w:tr>
        <w:trPr>
          <w:cantSplit/>
        </w:trPr>
        <w:tc>
          <w:tcPr>
            <w:tcW w:type="dxa" w:w="3974"/>
          </w:tcPr>
          <w:p>
            <w:pPr>
              <w:spacing w:before="0" w:after="0"/>
            </w:pPr>
            <w:r>
              <w:rPr>
                <w:b w:val="0"/>
                <w:i w:val="0"/>
                <w:color w:val="16302E"/>
                <w:sz w:val="16"/>
              </w:rPr>
              <w:t>Sinus rhythm at 24 months</w:t>
            </w:r>
          </w:p>
        </w:tc>
        <w:tc>
          <w:tcPr>
            <w:tcW w:type="dxa" w:w="1590"/>
          </w:tcPr>
          <w:p>
            <w:pPr>
              <w:spacing w:before="0" w:after="0"/>
            </w:pPr>
            <w:r>
              <w:rPr>
                <w:b/>
                <w:i w:val="0"/>
                <w:color w:val="16302E"/>
                <w:sz w:val="16"/>
              </w:rPr>
              <w:t>84.9% (cancer)</w:t>
            </w:r>
          </w:p>
        </w:tc>
        <w:tc>
          <w:tcPr>
            <w:tcW w:type="dxa" w:w="1590"/>
          </w:tcPr>
          <w:p>
            <w:pPr>
              <w:spacing w:before="0" w:after="0"/>
            </w:pPr>
            <w:r>
              <w:rPr>
                <w:b/>
                <w:i w:val="0"/>
                <w:color w:val="16302E"/>
                <w:sz w:val="16"/>
              </w:rPr>
              <w:t>81.8% (no cancer)</w:t>
            </w:r>
          </w:p>
        </w:tc>
        <w:tc>
          <w:tcPr>
            <w:tcW w:type="dxa" w:w="2782"/>
          </w:tcPr>
          <w:p>
            <w:pPr>
              <w:spacing w:before="0" w:after="0"/>
            </w:pPr>
            <w:r>
              <w:rPr>
                <w:b w:val="0"/>
                <w:i w:val="0"/>
                <w:color w:val="16302E"/>
                <w:sz w:val="16"/>
              </w:rPr>
              <w:t>pinteraction = .60</w:t>
            </w:r>
          </w:p>
        </w:tc>
      </w:tr>
      <w:tr>
        <w:trPr>
          <w:cantSplit/>
        </w:trPr>
        <w:tc>
          <w:tcPr>
            <w:tcW w:type="dxa" w:w="3974"/>
            <w:shd w:val="clear" w:color="auto" w:fill="F5F9F7"/>
          </w:tcPr>
          <w:p>
            <w:pPr>
              <w:spacing w:before="0" w:after="0"/>
            </w:pPr>
            <w:r>
              <w:rPr>
                <w:b w:val="0"/>
                <w:i w:val="0"/>
                <w:color w:val="16302E"/>
                <w:sz w:val="16"/>
              </w:rPr>
              <w:t>Safety outcome in cancer history subgroup</w:t>
            </w:r>
          </w:p>
        </w:tc>
        <w:tc>
          <w:tcPr>
            <w:tcW w:type="dxa" w:w="1590"/>
            <w:shd w:val="clear" w:color="auto" w:fill="F5F9F7"/>
          </w:tcPr>
          <w:p>
            <w:pPr>
              <w:spacing w:before="0" w:after="0"/>
            </w:pPr>
            <w:r>
              <w:rPr>
                <w:b/>
                <w:i w:val="0"/>
                <w:color w:val="16302E"/>
                <w:sz w:val="16"/>
              </w:rPr>
              <w:t>31% (36/116)</w:t>
            </w:r>
          </w:p>
        </w:tc>
        <w:tc>
          <w:tcPr>
            <w:tcW w:type="dxa" w:w="1590"/>
            <w:shd w:val="clear" w:color="auto" w:fill="F5F9F7"/>
          </w:tcPr>
          <w:p>
            <w:pPr>
              <w:spacing w:before="0" w:after="0"/>
            </w:pPr>
            <w:r>
              <w:rPr>
                <w:b/>
                <w:i w:val="0"/>
                <w:color w:val="16302E"/>
                <w:sz w:val="16"/>
              </w:rPr>
              <w:t>20% (20/100)</w:t>
            </w:r>
          </w:p>
        </w:tc>
        <w:tc>
          <w:tcPr>
            <w:tcW w:type="dxa" w:w="2782"/>
            <w:shd w:val="clear" w:color="auto" w:fill="F5F9F7"/>
          </w:tcPr>
          <w:p>
            <w:pPr>
              <w:spacing w:before="0" w:after="0"/>
            </w:pPr>
            <w:r>
              <w:rPr>
                <w:b w:val="0"/>
                <w:i w:val="0"/>
                <w:color w:val="16302E"/>
                <w:sz w:val="16"/>
              </w:rPr>
              <w:t>pinteraction = .055</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Early rhythm control improves cardiovascular outcomes in patients with atrial fibrillation, but its effectiveness in patients with cancer remains unclear. This secondary analysis of the EAST-AFNET 4 trial evaluated the effects of cancer history on early rhythm control outcomes. The study compared patients with and without a history of cancer, including individuals with active malignancy and those in remission. Cancer history status was available for 2779 of 2789 trial participants (99.6%). A history of cancer was present in 216 of 2779 patients (7.8%), of whom 19 had active cancer. Baseline characteristics of patients with cancer included a mean age of 73 years, 44% women (n = 95), and a mean CHA2DS2-VASc score of 3.5. The primary outcome was a composite of cardiovascular death, stroke, or hospitalization for worsening heart failure or acute coronary syndrome. Safety outcomes encompassed a composite of death, stroke, and serious adverse events related to rhythm control, alongside sinus rhythm maintenance at 24 months. Over a follow-up of up to 8.6 years, early rhythm control reduced the primary composite outcome in patients with and without cancer history (p for interaction = .23). Rates of sinus rhythm at 24 months were high in both cohorts (84.9% with cancer vs 81.8% without cancer; p for interaction = .60). In patients with a cancer history, a safety signal emerged, with safety outcomes occurring in 36 of 116 patients (31%; 22 deaths) assigned to early rhythm control versus 20 of 100 patients (20%; 18 deaths) assigned to usual care (p for interaction = .055). The authors noted that this hypothesis-generating finding may represent the play of chance. The authors conclude that early rhythm control appears effective in patients with atrial fibrillation and cancer history but may carry reduced safety, warranting further investigation.</w:t>
      </w:r>
    </w:p>
    <w:p>
      <w:pPr>
        <w:spacing w:before="180" w:after="20"/>
      </w:pPr>
      <w:r>
        <w:rPr>
          <w:b/>
          <w:i w:val="0"/>
          <w:color w:val="2FB89A"/>
          <w:sz w:val="16"/>
        </w:rPr>
        <w:t>RELATION TO EXISTING EVIDENCE</w:t>
      </w:r>
    </w:p>
    <w:p>
      <w:pPr>
        <w:spacing w:before="0" w:after="40"/>
      </w:pPr>
      <w:r>
        <w:rPr>
          <w:b w:val="0"/>
          <w:i w:val="0"/>
          <w:color w:val="16302E"/>
          <w:sz w:val="19"/>
        </w:rPr>
        <w:t>The main EAST-AFNET 4 trial demonstrated cardiovascular outcome benefits with early rhythm control across broad atrial fibrillation populations. This secondary analysis contextualizes those findings within the specific subgroup of patients with a history of malignancy, identifying comparable efficacy but a potential safety signal.</w:t>
      </w:r>
    </w:p>
    <w:p>
      <w:pPr>
        <w:spacing w:before="180" w:after="20"/>
      </w:pPr>
      <w:r>
        <w:rPr>
          <w:b/>
          <w:i w:val="0"/>
          <w:color w:val="2FB89A"/>
          <w:sz w:val="16"/>
        </w:rPr>
        <w:t>RELATION TO GUIDELINES</w:t>
      </w:r>
    </w:p>
    <w:p>
      <w:pPr>
        <w:spacing w:before="0" w:after="40"/>
      </w:pPr>
      <w:r>
        <w:rPr>
          <w:b w:val="0"/>
          <w:i w:val="0"/>
          <w:color w:val="16302E"/>
          <w:sz w:val="19"/>
        </w:rPr>
        <w:t>Current atrial fibrillation guidelines address early rhythm control strategies for prognostic and symptomatic management. These subgroup findings refine the understanding of rhythm control in cancer survivors and patients with active cancer, though no specific guideline modifications are directly established from this post hoc analysis.</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early rhythm control therapy appears effective in patients with atrial fibrillation and a history of cancer but may be less safe than in patients without cancer in this hypothesis-generating analysis, which warrants further research.</w:t>
            </w:r>
          </w:p>
        </w:tc>
      </w:tr>
    </w:tbl>
    <w:p>
      <w:pPr>
        <w:spacing w:before="0" w:after="80"/>
      </w:pPr>
    </w:p>
    <w:p>
      <w:pPr>
        <w:spacing w:before="120"/>
      </w:pPr>
      <w:hyperlink r:id="rId11">
        <w:r>
          <w:rPr>
            <w:color w:val="2FB89A"/>
            <w:u w:val="single"/>
            <w:sz w:val="16"/>
          </w:rPr>
          <w:t>View on PubMed</w:t>
        </w:r>
      </w:hyperlink>
      <w:r>
        <w:rPr>
          <w:color w:val="5C7370"/>
          <w:sz w:val="16"/>
        </w:rPr>
        <w:t xml:space="preserve">  ·  DOI: 10.1093/europace/euag269</w:t>
      </w:r>
    </w:p>
    <w:p>
      <w:r>
        <w:br w:type="page"/>
      </w:r>
    </w:p>
    <w:p>
      <w:pPr>
        <w:spacing w:before="0" w:after="40"/>
      </w:pPr>
      <w:r>
        <w:rPr>
          <w:b/>
          <w:i w:val="0"/>
          <w:color w:val="2FB89A"/>
          <w:sz w:val="16"/>
        </w:rPr>
        <w:t>ELECTROPHYSIOLOGY &amp; DEVICES</w:t>
      </w:r>
    </w:p>
    <w:p>
      <w:pPr>
        <w:spacing w:after="20"/>
      </w:pPr>
      <w:r>
        <w:rPr>
          <w:b/>
          <w:color w:val="2FB89A"/>
          <w:sz w:val="30"/>
        </w:rPr>
        <w:t xml:space="preserve">3  </w:t>
      </w:r>
      <w:r>
        <w:rPr>
          <w:b/>
          <w:color w:val="16302E"/>
          <w:sz w:val="30"/>
        </w:rPr>
        <w:t>Trends in Incidence of Atrial Fibrillation-Related Stroke: The Norwegian AFNOR Study.</w:t>
      </w:r>
    </w:p>
    <w:p>
      <w:pPr>
        <w:spacing w:before="0" w:after="40"/>
      </w:pPr>
      <w:r>
        <w:rPr>
          <w:b w:val="0"/>
          <w:i w:val="0"/>
          <w:color w:val="5C7370"/>
          <w:sz w:val="17"/>
        </w:rPr>
        <w:t>J Am Heart Assoc · 2026 Sep 18 · Anjum M., Ariansen I., Hjellvik V.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Mandatory nationwide registry study</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227575</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2001-2021</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Total incident strokes</w:t>
            </w:r>
          </w:p>
        </w:tc>
        <w:tc>
          <w:tcPr>
            <w:tcW w:type="dxa" w:w="4471"/>
          </w:tcPr>
          <w:p>
            <w:pPr>
              <w:spacing w:before="0" w:after="0"/>
            </w:pPr>
            <w:r>
              <w:rPr>
                <w:b/>
                <w:i w:val="0"/>
                <w:color w:val="0F3D3A"/>
                <w:sz w:val="17"/>
              </w:rPr>
              <w:t>227 575</w:t>
            </w:r>
          </w:p>
        </w:tc>
      </w:tr>
      <w:tr>
        <w:trPr>
          <w:cantSplit/>
        </w:trPr>
        <w:tc>
          <w:tcPr>
            <w:tcW w:type="dxa" w:w="5465"/>
            <w:shd w:val="clear" w:color="auto" w:fill="F5F9F7"/>
          </w:tcPr>
          <w:p>
            <w:pPr>
              <w:spacing w:before="0" w:after="0"/>
            </w:pPr>
            <w:r>
              <w:rPr>
                <w:b w:val="0"/>
                <w:i w:val="0"/>
                <w:color w:val="16302E"/>
                <w:sz w:val="17"/>
              </w:rPr>
              <w:t>AF-related strokes (% of total)</w:t>
            </w:r>
          </w:p>
        </w:tc>
        <w:tc>
          <w:tcPr>
            <w:tcW w:type="dxa" w:w="4471"/>
            <w:shd w:val="clear" w:color="auto" w:fill="F5F9F7"/>
          </w:tcPr>
          <w:p>
            <w:pPr>
              <w:spacing w:before="0" w:after="0"/>
            </w:pPr>
            <w:r>
              <w:rPr>
                <w:b/>
                <w:i w:val="0"/>
                <w:color w:val="0F3D3A"/>
                <w:sz w:val="17"/>
              </w:rPr>
              <w:t>66 795 (29.4%), increasing from 22% to 31% during 2001-2021</w:t>
            </w:r>
          </w:p>
        </w:tc>
      </w:tr>
      <w:tr>
        <w:trPr>
          <w:cantSplit/>
        </w:trPr>
        <w:tc>
          <w:tcPr>
            <w:tcW w:type="dxa" w:w="5465"/>
          </w:tcPr>
          <w:p>
            <w:pPr>
              <w:spacing w:before="0" w:after="0"/>
            </w:pPr>
            <w:r>
              <w:rPr>
                <w:b w:val="0"/>
                <w:i w:val="0"/>
                <w:color w:val="16302E"/>
                <w:sz w:val="17"/>
              </w:rPr>
              <w:t>AF-related ischemic strokes in non-anticoagulated individuals</w:t>
            </w:r>
          </w:p>
        </w:tc>
        <w:tc>
          <w:tcPr>
            <w:tcW w:type="dxa" w:w="4471"/>
          </w:tcPr>
          <w:p>
            <w:pPr>
              <w:spacing w:before="0" w:after="0"/>
            </w:pPr>
            <w:r>
              <w:rPr>
                <w:b/>
                <w:i w:val="0"/>
                <w:color w:val="0F3D3A"/>
                <w:sz w:val="17"/>
              </w:rPr>
              <w:t>69%</w:t>
            </w:r>
          </w:p>
        </w:tc>
      </w:tr>
      <w:tr>
        <w:trPr>
          <w:cantSplit/>
        </w:trPr>
        <w:tc>
          <w:tcPr>
            <w:tcW w:type="dxa" w:w="5465"/>
            <w:shd w:val="clear" w:color="auto" w:fill="F5F9F7"/>
          </w:tcPr>
          <w:p>
            <w:pPr>
              <w:spacing w:before="0" w:after="0"/>
            </w:pPr>
            <w:r>
              <w:rPr>
                <w:b w:val="0"/>
                <w:i w:val="0"/>
                <w:color w:val="16302E"/>
                <w:sz w:val="17"/>
              </w:rPr>
              <w:t>Incidence rate of AF-related ischemic strokes (2001 to 2021)</w:t>
            </w:r>
          </w:p>
        </w:tc>
        <w:tc>
          <w:tcPr>
            <w:tcW w:type="dxa" w:w="4471"/>
            <w:shd w:val="clear" w:color="auto" w:fill="F5F9F7"/>
          </w:tcPr>
          <w:p>
            <w:pPr>
              <w:spacing w:before="0" w:after="0"/>
            </w:pPr>
            <w:r>
              <w:rPr>
                <w:b/>
                <w:i w:val="0"/>
                <w:color w:val="0F3D3A"/>
                <w:sz w:val="17"/>
              </w:rPr>
              <w:t>67.8 to 68.4 per 100 000 person-years (IRR=1.01; 95% CI, 1.00-1.03)</w:t>
            </w:r>
          </w:p>
        </w:tc>
      </w:tr>
      <w:tr>
        <w:trPr>
          <w:cantSplit/>
        </w:trPr>
        <w:tc>
          <w:tcPr>
            <w:tcW w:type="dxa" w:w="5465"/>
          </w:tcPr>
          <w:p>
            <w:pPr>
              <w:spacing w:before="0" w:after="0"/>
            </w:pPr>
            <w:r>
              <w:rPr>
                <w:b w:val="0"/>
                <w:i w:val="0"/>
                <w:color w:val="16302E"/>
                <w:sz w:val="17"/>
              </w:rPr>
              <w:t>Incidence rate of non-AF ischemic strokes (2001 to 2021)</w:t>
            </w:r>
          </w:p>
        </w:tc>
        <w:tc>
          <w:tcPr>
            <w:tcW w:type="dxa" w:w="4471"/>
          </w:tcPr>
          <w:p>
            <w:pPr>
              <w:spacing w:before="0" w:after="0"/>
            </w:pPr>
            <w:r>
              <w:rPr>
                <w:b/>
                <w:i w:val="0"/>
                <w:color w:val="0F3D3A"/>
                <w:sz w:val="17"/>
              </w:rPr>
              <w:t>204.4 to 130.8 (IRR=0.98; 95% CI, 0.97-0.99)</w:t>
            </w:r>
          </w:p>
        </w:tc>
      </w:tr>
      <w:tr>
        <w:trPr>
          <w:cantSplit/>
        </w:trPr>
        <w:tc>
          <w:tcPr>
            <w:tcW w:type="dxa" w:w="5465"/>
            <w:shd w:val="clear" w:color="auto" w:fill="F5F9F7"/>
          </w:tcPr>
          <w:p>
            <w:pPr>
              <w:spacing w:before="0" w:after="0"/>
            </w:pPr>
            <w:r>
              <w:rPr>
                <w:b w:val="0"/>
                <w:i w:val="0"/>
                <w:color w:val="16302E"/>
                <w:sz w:val="17"/>
              </w:rPr>
              <w:t>Incidence rate ratio for non-AF intracerebral hemorrhage</w:t>
            </w:r>
          </w:p>
        </w:tc>
        <w:tc>
          <w:tcPr>
            <w:tcW w:type="dxa" w:w="4471"/>
            <w:shd w:val="clear" w:color="auto" w:fill="F5F9F7"/>
          </w:tcPr>
          <w:p>
            <w:pPr>
              <w:spacing w:before="0" w:after="0"/>
            </w:pPr>
            <w:r>
              <w:rPr>
                <w:b/>
                <w:i w:val="0"/>
                <w:color w:val="0F3D3A"/>
                <w:sz w:val="17"/>
              </w:rPr>
              <w:t>IRR=0.98 (95% CI, 0.97-0.99)</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The background of this study addresses the increasing prevalence of atrial fibrillation (AF) alongside shifts in cardiovascular risk factors, AF detection, and oral anticoagulant use, which may have altered the epidemiology of AF-related stroke. The authors note that population-based data on long-term trends remain limited. The study utilized mandatory nationwide registry data from the Atrial Fibrillation in Norway (AFNOR) study spanning the period from 2001 to 2021. Incident stroke cases were defined as the first hospitalization or death due to stroke among individuals aged 15 years or older. Direct standardization was employed to calculate age-standardized incidence rates. Negative binomial regression was used to estimate sex- and age-adjusted incidence rate ratios (IRR). Across the study period, a total of 227 575 incident strokes were identified. Of these incident strokes, 66 795 (29.4%) were AF-related, showing an increase in the proportion of AF-related strokes from 22% in 2001 to 31% in 2021. Non-anticoagulated individuals accounted for 69% of all AF-related ischemic strokes. The overall incidence rate of AF-related ischemic strokes remained stable, shifting from 67.8 per 100 000 person-years in 2001 to 68.4 in 2021 (IRR=1.01; 95% CI, 1.00-1.03), while increasing specifically among individuals aged 15 to 64 years. In contrast, the incidence rate of non-AF ischemic strokes declined from 204.4 to 130.8 (IRR=0.98; 95% CI, 0.97-0.99). For intracerebral hemorrhage, the incidence of AF-related cases in individuals aged 75 years or older increased, driven by anticoagulated patients. The incidence of non-AF intracerebral hemorrhage decreased over the study timeframe (IRR=0.98; 95% CI, 0.97-0.99). No specific study limitations were reported in the abstract.</w:t>
      </w:r>
    </w:p>
    <w:p>
      <w:pPr>
        <w:spacing w:before="180" w:after="20"/>
      </w:pPr>
      <w:r>
        <w:rPr>
          <w:b/>
          <w:i w:val="0"/>
          <w:color w:val="2FB89A"/>
          <w:sz w:val="16"/>
        </w:rPr>
        <w:t>RELATION TO EXISTING EVIDENCE</w:t>
      </w:r>
    </w:p>
    <w:p>
      <w:pPr>
        <w:spacing w:before="0" w:after="40"/>
      </w:pPr>
      <w:r>
        <w:rPr>
          <w:b w:val="0"/>
          <w:i w:val="0"/>
          <w:color w:val="16302E"/>
          <w:sz w:val="19"/>
        </w:rPr>
        <w:t>Existing epidemiological evidence indicates that stroke prevention strategies and anticoagulation patterns have evolved over recent decades alongside changing AF prevalence. This nationwide population-based study provides long-term trend data demonstrating divergent incidence trajectories between AF-related and non-AF strokes across different age groups.</w:t>
      </w:r>
    </w:p>
    <w:p>
      <w:pPr>
        <w:spacing w:before="180" w:after="20"/>
      </w:pPr>
      <w:r>
        <w:rPr>
          <w:b/>
          <w:i w:val="0"/>
          <w:color w:val="2FB89A"/>
          <w:sz w:val="16"/>
        </w:rPr>
        <w:t>RELATION TO GUIDELINES</w:t>
      </w:r>
    </w:p>
    <w:p>
      <w:pPr>
        <w:spacing w:before="0" w:after="40"/>
      </w:pPr>
      <w:r>
        <w:rPr>
          <w:b w:val="0"/>
          <w:i w:val="0"/>
          <w:color w:val="16302E"/>
          <w:sz w:val="19"/>
        </w:rPr>
        <w:t>The findings reflect established clinical guideline principles emphasizing oral anticoagulation for stroke prevention in atrial fibrillation and the structured assessment of bleeding risk in elderly populations. They also describe real-world epidemiological patterns relevant to guideline focus areas on AF detection and anticoagulation adherence.</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the favorable decline in ischemic stroke incidence from 2001 to 2021 did not include AF-related strokes, with increases observed in AF-related ischemic strokes in younger age groups and AF-related intracerebral hemorrhage in older anticoagulated patients. They state that these findings underscore the need for improved strategies for AF detection and stroke prevention, particularly in younger populations, and greater attention towards management of bleeding risk among older, anticoagulated individuals.</w:t>
            </w:r>
          </w:p>
        </w:tc>
      </w:tr>
    </w:tbl>
    <w:p>
      <w:pPr>
        <w:spacing w:before="0" w:after="80"/>
      </w:pPr>
    </w:p>
    <w:p>
      <w:pPr>
        <w:spacing w:before="120"/>
      </w:pPr>
      <w:hyperlink r:id="rId12">
        <w:r>
          <w:rPr>
            <w:color w:val="2FB89A"/>
            <w:u w:val="single"/>
            <w:sz w:val="16"/>
          </w:rPr>
          <w:t>View on PubMed</w:t>
        </w:r>
      </w:hyperlink>
      <w:r>
        <w:rPr>
          <w:color w:val="5C7370"/>
          <w:sz w:val="16"/>
        </w:rPr>
        <w:t xml:space="preserve">  ·  DOI: 10.1161/JAHA.126.049696</w:t>
      </w:r>
    </w:p>
    <w:p>
      <w:r>
        <w:br w:type="page"/>
      </w:r>
    </w:p>
    <w:p>
      <w:pPr>
        <w:spacing w:before="0" w:after="40"/>
      </w:pPr>
      <w:r>
        <w:rPr>
          <w:b/>
          <w:i w:val="0"/>
          <w:color w:val="2FB89A"/>
          <w:sz w:val="16"/>
        </w:rPr>
        <w:t>ELECTROPHYSIOLOGY &amp; DEVICES</w:t>
      </w:r>
    </w:p>
    <w:p>
      <w:pPr>
        <w:spacing w:after="20"/>
      </w:pPr>
      <w:r>
        <w:rPr>
          <w:b/>
          <w:color w:val="2FB89A"/>
          <w:sz w:val="30"/>
        </w:rPr>
        <w:t xml:space="preserve">4  </w:t>
      </w:r>
      <w:r>
        <w:rPr>
          <w:b/>
          <w:color w:val="16302E"/>
          <w:sz w:val="30"/>
        </w:rPr>
        <w:t>Characteristics of Recurrent Atrial Arrhythmias and Lesion Assessment Late After Pulsed Field Ablation of Atrial Fibrillation.</w:t>
      </w:r>
    </w:p>
    <w:p>
      <w:pPr>
        <w:spacing w:before="0" w:after="40"/>
      </w:pPr>
      <w:r>
        <w:rPr>
          <w:b w:val="0"/>
          <w:i w:val="0"/>
          <w:color w:val="5C7370"/>
          <w:sz w:val="17"/>
        </w:rPr>
        <w:t>Circ Arrhythm Electrophysiol · 2026 Sep 18 · Beneyto M., Chaumont C., Yokoyama M.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968"/>
        <w:gridCol w:w="4968"/>
      </w:tblGrid>
      <w:tr>
        <w:trPr>
          <w:cantSplit/>
        </w:trPr>
        <w:tc>
          <w:tcPr>
            <w:tcW w:type="dxa" w:w="4968"/>
            <w:shd w:val="clear" w:color="auto" w:fill="F0F6F3"/>
          </w:tcPr>
          <w:p>
            <w:pPr>
              <w:spacing w:before="0" w:after="0"/>
            </w:pPr>
            <w:r>
              <w:rPr>
                <w:b/>
                <w:i w:val="0"/>
                <w:color w:val="0F3D3A"/>
                <w:sz w:val="22"/>
              </w:rPr>
              <w:t>Substudy of a national exhaustive multicentric registry</w:t>
            </w:r>
          </w:p>
          <w:p>
            <w:pPr>
              <w:spacing w:before="0" w:after="0"/>
            </w:pPr>
            <w:r>
              <w:rPr>
                <w:b w:val="0"/>
                <w:i w:val="0"/>
                <w:color w:val="5C7370"/>
                <w:sz w:val="14"/>
              </w:rPr>
              <w:t>DESIGN</w:t>
            </w:r>
          </w:p>
        </w:tc>
        <w:tc>
          <w:tcPr>
            <w:tcW w:type="dxa" w:w="4968"/>
            <w:shd w:val="clear" w:color="auto" w:fill="F0F6F3"/>
          </w:tcPr>
          <w:p>
            <w:pPr>
              <w:spacing w:before="0" w:after="0"/>
            </w:pPr>
            <w:r>
              <w:rPr>
                <w:b/>
                <w:i w:val="0"/>
                <w:color w:val="0F3D3A"/>
                <w:sz w:val="22"/>
              </w:rPr>
              <w:t>145</w:t>
            </w:r>
          </w:p>
          <w:p>
            <w:pPr>
              <w:spacing w:before="0" w:after="0"/>
            </w:pPr>
            <w:r>
              <w:rPr>
                <w:b w:val="0"/>
                <w:i w:val="0"/>
                <w:color w:val="5C7370"/>
                <w:sz w:val="14"/>
              </w:rPr>
              <w:t>PARTICIPANTS</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Recurrent arrhythmia distribution</w:t>
            </w:r>
          </w:p>
        </w:tc>
        <w:tc>
          <w:tcPr>
            <w:tcW w:type="dxa" w:w="4471"/>
          </w:tcPr>
          <w:p>
            <w:pPr>
              <w:spacing w:before="0" w:after="0"/>
            </w:pPr>
            <w:r>
              <w:rPr>
                <w:b/>
                <w:i w:val="0"/>
                <w:color w:val="0F3D3A"/>
                <w:sz w:val="17"/>
              </w:rPr>
              <w:t>AF 58%, atrial tachycardia 28%, typical atrial flutter 8%</w:t>
            </w:r>
          </w:p>
        </w:tc>
      </w:tr>
      <w:tr>
        <w:trPr>
          <w:cantSplit/>
        </w:trPr>
        <w:tc>
          <w:tcPr>
            <w:tcW w:type="dxa" w:w="5465"/>
            <w:shd w:val="clear" w:color="auto" w:fill="F5F9F7"/>
          </w:tcPr>
          <w:p>
            <w:pPr>
              <w:spacing w:before="0" w:after="0"/>
            </w:pPr>
            <w:r>
              <w:rPr>
                <w:b w:val="0"/>
                <w:i w:val="0"/>
                <w:color w:val="16302E"/>
                <w:sz w:val="17"/>
              </w:rPr>
              <w:t>AF recurrence: extra-PV ablation vs without</w:t>
            </w:r>
          </w:p>
        </w:tc>
        <w:tc>
          <w:tcPr>
            <w:tcW w:type="dxa" w:w="4471"/>
            <w:shd w:val="clear" w:color="auto" w:fill="F5F9F7"/>
          </w:tcPr>
          <w:p>
            <w:pPr>
              <w:spacing w:before="0" w:after="0"/>
            </w:pPr>
            <w:r>
              <w:rPr>
                <w:b/>
                <w:i w:val="0"/>
                <w:color w:val="0F3D3A"/>
                <w:sz w:val="17"/>
              </w:rPr>
              <w:t>45% vs 71% (P=0.01)</w:t>
            </w:r>
          </w:p>
        </w:tc>
      </w:tr>
      <w:tr>
        <w:trPr>
          <w:cantSplit/>
        </w:trPr>
        <w:tc>
          <w:tcPr>
            <w:tcW w:type="dxa" w:w="5465"/>
          </w:tcPr>
          <w:p>
            <w:pPr>
              <w:spacing w:before="0" w:after="0"/>
            </w:pPr>
            <w:r>
              <w:rPr>
                <w:b w:val="0"/>
                <w:i w:val="0"/>
                <w:color w:val="16302E"/>
                <w:sz w:val="17"/>
              </w:rPr>
              <w:t>AF recurrence with 35-mm catheter for PVI only</w:t>
            </w:r>
          </w:p>
        </w:tc>
        <w:tc>
          <w:tcPr>
            <w:tcW w:type="dxa" w:w="4471"/>
          </w:tcPr>
          <w:p>
            <w:pPr>
              <w:spacing w:before="0" w:after="0"/>
            </w:pPr>
            <w:r>
              <w:rPr>
                <w:b/>
                <w:i w:val="0"/>
                <w:color w:val="0F3D3A"/>
                <w:sz w:val="17"/>
              </w:rPr>
              <w:t>50% vs 77% (P=0.01)</w:t>
            </w:r>
          </w:p>
        </w:tc>
      </w:tr>
      <w:tr>
        <w:trPr>
          <w:cantSplit/>
        </w:trPr>
        <w:tc>
          <w:tcPr>
            <w:tcW w:type="dxa" w:w="5465"/>
            <w:shd w:val="clear" w:color="auto" w:fill="F5F9F7"/>
          </w:tcPr>
          <w:p>
            <w:pPr>
              <w:spacing w:before="0" w:after="0"/>
            </w:pPr>
            <w:r>
              <w:rPr>
                <w:b w:val="0"/>
                <w:i w:val="0"/>
                <w:color w:val="16302E"/>
                <w:sz w:val="17"/>
              </w:rPr>
              <w:t>Complete durable PVI rate overall</w:t>
            </w:r>
          </w:p>
        </w:tc>
        <w:tc>
          <w:tcPr>
            <w:tcW w:type="dxa" w:w="4471"/>
            <w:shd w:val="clear" w:color="auto" w:fill="F5F9F7"/>
          </w:tcPr>
          <w:p>
            <w:pPr>
              <w:spacing w:before="0" w:after="0"/>
            </w:pPr>
            <w:r>
              <w:rPr>
                <w:b/>
                <w:i w:val="0"/>
                <w:color w:val="0F3D3A"/>
                <w:sz w:val="17"/>
              </w:rPr>
              <w:t>42% (69% to 76% for each separate PV)</w:t>
            </w:r>
          </w:p>
        </w:tc>
      </w:tr>
      <w:tr>
        <w:trPr>
          <w:cantSplit/>
        </w:trPr>
        <w:tc>
          <w:tcPr>
            <w:tcW w:type="dxa" w:w="5465"/>
          </w:tcPr>
          <w:p>
            <w:pPr>
              <w:spacing w:before="0" w:after="0"/>
            </w:pPr>
            <w:r>
              <w:rPr>
                <w:b w:val="0"/>
                <w:i w:val="0"/>
                <w:color w:val="16302E"/>
                <w:sz w:val="17"/>
              </w:rPr>
              <w:t>Durable PVI with &gt;12 PFA applications</w:t>
            </w:r>
          </w:p>
        </w:tc>
        <w:tc>
          <w:tcPr>
            <w:tcW w:type="dxa" w:w="4471"/>
          </w:tcPr>
          <w:p>
            <w:pPr>
              <w:spacing w:before="0" w:after="0"/>
            </w:pPr>
            <w:r>
              <w:rPr>
                <w:b/>
                <w:i w:val="0"/>
                <w:color w:val="0F3D3A"/>
                <w:sz w:val="17"/>
              </w:rPr>
              <w:t>84% (P&lt;0.05)</w:t>
            </w:r>
          </w:p>
        </w:tc>
      </w:tr>
      <w:tr>
        <w:trPr>
          <w:cantSplit/>
        </w:trPr>
        <w:tc>
          <w:tcPr>
            <w:tcW w:type="dxa" w:w="5465"/>
            <w:shd w:val="clear" w:color="auto" w:fill="F5F9F7"/>
          </w:tcPr>
          <w:p>
            <w:pPr>
              <w:spacing w:before="0" w:after="0"/>
            </w:pPr>
            <w:r>
              <w:rPr>
                <w:b w:val="0"/>
                <w:i w:val="0"/>
                <w:color w:val="16302E"/>
                <w:sz w:val="17"/>
              </w:rPr>
              <w:t>Durable roof/PW block with &gt;16 PFA applications</w:t>
            </w:r>
          </w:p>
        </w:tc>
        <w:tc>
          <w:tcPr>
            <w:tcW w:type="dxa" w:w="4471"/>
            <w:shd w:val="clear" w:color="auto" w:fill="F5F9F7"/>
          </w:tcPr>
          <w:p>
            <w:pPr>
              <w:spacing w:before="0" w:after="0"/>
            </w:pPr>
            <w:r>
              <w:rPr>
                <w:b/>
                <w:i w:val="0"/>
                <w:color w:val="0F3D3A"/>
                <w:sz w:val="17"/>
              </w:rPr>
              <w:t>88% (P&lt;0.01)</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Pulsed field ablation (PFA) represents an expanding modality for atrial fibrillation (AF) catheter ablation, though lesion durability and recurrence patterns during redo procedures require further characterization. This study was conducted as a substudy of the FRANCE PFA national exhaustive multicentric registry. The authors analyzed 145 patients with arrhythmia recurrence who underwent repeat ablation procedures with three-dimensional electroanatomical mapping following an index AF ablation. Detailed data regarding initial PFA applications were evaluated to assess recurrence types, durable pulmonary vein isolation (PVI) rates, and linear block durability. Documented recurrent arrhythmias comprised AF in 58%, atrial tachycardia in 28%, and typical atrial flutter in 8% of cases. AF recurrence was significantly less frequent when the initial ablation targeted extra-PV areas compared to when it did not (45% versus 71%; P=0.01). When PVI alone was performed, AF was also less frequent when using a 35-mm diameter catheter compared to standard sizing (50% versus 77%; P=0.01). Complete durable PVI across all veins was observed in 42% of patients, with individual PV durability rates ranging from 69% to 76%. Durable roof/posterior wall block was observed in 62% of patients, whereas durable mitral isthmus block was achieved in 31%. The rate of durable PVI increased with the number of applications (P&lt;0.05), reaching 84% when more than 12 applications were delivered. Similarly, durable roof/posterior wall block rates increased to 88% with more than 16 applications (P&lt;0.01). Mitral isthmus block durability remained low at 31% and was not significantly associated with the number of PFA applications. Safety endpoints and complications were not detailed in the abstract. The authors concluded that higher application numbers yielded high rates of durable PVI and roof/posterior wall block, whereas mitral isthmus durability remained poor using the pentaspline PFA catheter.</w:t>
      </w:r>
    </w:p>
    <w:p>
      <w:pPr>
        <w:spacing w:before="180" w:after="20"/>
      </w:pPr>
      <w:r>
        <w:rPr>
          <w:b/>
          <w:i w:val="0"/>
          <w:color w:val="2FB89A"/>
          <w:sz w:val="16"/>
        </w:rPr>
        <w:t>RELATION TO EXISTING EVIDENCE</w:t>
      </w:r>
    </w:p>
    <w:p>
      <w:pPr>
        <w:spacing w:before="0" w:after="40"/>
      </w:pPr>
      <w:r>
        <w:rPr>
          <w:b w:val="0"/>
          <w:i w:val="0"/>
          <w:color w:val="16302E"/>
          <w:sz w:val="19"/>
        </w:rPr>
        <w:t>The study provides observational insights into lesion durability and arrhythmia mechanisms during repeat electroanatomical mapping following pulsed field ablation for atrial fibrillation.</w:t>
      </w:r>
    </w:p>
    <w:p>
      <w:pPr>
        <w:spacing w:before="180" w:after="20"/>
      </w:pPr>
      <w:r>
        <w:rPr>
          <w:b/>
          <w:i w:val="0"/>
          <w:color w:val="2FB89A"/>
          <w:sz w:val="16"/>
        </w:rPr>
        <w:t>RELATION TO GUIDELINES</w:t>
      </w:r>
    </w:p>
    <w:p>
      <w:pPr>
        <w:spacing w:before="0" w:after="40"/>
      </w:pPr>
      <w:r>
        <w:rPr>
          <w:b w:val="0"/>
          <w:i w:val="0"/>
          <w:color w:val="16302E"/>
          <w:sz w:val="19"/>
        </w:rPr>
        <w:t>Current AF guidelines establish pulmonary vein isolation as the cornerstone of rhythm control ablation, and these findings descriptively refine understanding regarding pulsed field lesion durability and extra-pulmonary vein lesion sets.</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in patients undergoing redo procedures after an initial AF ablation using the pentaspline PFA catheter, AF was less frequently observed when ablation lesions extended beyond the PVs, high rates of durable PVI (&gt;12 applications) and roof/posterior wall block (&gt;16 applications) were achieved with higher application counts, and long-term durability of mitral isthmus block remained poor.</w:t>
            </w:r>
          </w:p>
        </w:tc>
      </w:tr>
    </w:tbl>
    <w:p>
      <w:pPr>
        <w:spacing w:before="0" w:after="80"/>
      </w:pPr>
    </w:p>
    <w:p>
      <w:pPr>
        <w:spacing w:before="120"/>
      </w:pPr>
      <w:hyperlink r:id="rId13">
        <w:r>
          <w:rPr>
            <w:color w:val="2FB89A"/>
            <w:u w:val="single"/>
            <w:sz w:val="16"/>
          </w:rPr>
          <w:t>View on PubMed</w:t>
        </w:r>
      </w:hyperlink>
      <w:r>
        <w:rPr>
          <w:color w:val="5C7370"/>
          <w:sz w:val="16"/>
        </w:rPr>
        <w:t xml:space="preserve">  ·  DOI: 10.1161/CIRCEP.125.014506</w:t>
      </w:r>
    </w:p>
    <w:p>
      <w:r>
        <w:br w:type="page"/>
      </w:r>
    </w:p>
    <w:p>
      <w:pPr>
        <w:spacing w:before="0" w:after="40"/>
      </w:pPr>
      <w:r>
        <w:rPr>
          <w:b/>
          <w:i w:val="0"/>
          <w:color w:val="2FB89A"/>
          <w:sz w:val="16"/>
        </w:rPr>
        <w:t>STRUCTURAL HEART DISEASE</w:t>
      </w:r>
    </w:p>
    <w:p>
      <w:pPr>
        <w:spacing w:after="20"/>
      </w:pPr>
      <w:r>
        <w:rPr>
          <w:b/>
          <w:color w:val="2FB89A"/>
          <w:sz w:val="30"/>
        </w:rPr>
        <w:t xml:space="preserve">1  </w:t>
      </w:r>
      <w:r>
        <w:rPr>
          <w:b/>
          <w:color w:val="16302E"/>
          <w:sz w:val="30"/>
        </w:rPr>
        <w:t>European Infective Endocarditis (EURO-ENDO) score for predicting 30-day mortality in left-sided infective endocarditis.</w:t>
      </w:r>
    </w:p>
    <w:p>
      <w:pPr>
        <w:spacing w:before="0" w:after="40"/>
      </w:pPr>
      <w:r>
        <w:rPr>
          <w:b w:val="0"/>
          <w:i w:val="0"/>
          <w:color w:val="5C7370"/>
          <w:sz w:val="17"/>
        </w:rPr>
        <w:t>Heart · 2026 Sep 18 · Sambola A., Lozano-Torres J., Boersma E.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Prospective multicentre registry with internal bootstrap and external temporal validation</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2517 (2140 derivation, 377 validation)</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30 days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30-day mortality (derivation cohort)</w:t>
            </w:r>
          </w:p>
        </w:tc>
        <w:tc>
          <w:tcPr>
            <w:tcW w:type="dxa" w:w="4471"/>
          </w:tcPr>
          <w:p>
            <w:pPr>
              <w:spacing w:before="0" w:after="0"/>
            </w:pPr>
            <w:r>
              <w:rPr>
                <w:b/>
                <w:i w:val="0"/>
                <w:color w:val="0F3D3A"/>
                <w:sz w:val="17"/>
              </w:rPr>
              <w:t>11.9% (254/2140)</w:t>
            </w:r>
          </w:p>
        </w:tc>
      </w:tr>
      <w:tr>
        <w:trPr>
          <w:cantSplit/>
        </w:trPr>
        <w:tc>
          <w:tcPr>
            <w:tcW w:type="dxa" w:w="5465"/>
            <w:shd w:val="clear" w:color="auto" w:fill="F5F9F7"/>
          </w:tcPr>
          <w:p>
            <w:pPr>
              <w:spacing w:before="0" w:after="0"/>
            </w:pPr>
            <w:r>
              <w:rPr>
                <w:b w:val="0"/>
                <w:i w:val="0"/>
                <w:color w:val="16302E"/>
                <w:sz w:val="17"/>
              </w:rPr>
              <w:t>AUROC in derivation cohort</w:t>
            </w:r>
          </w:p>
        </w:tc>
        <w:tc>
          <w:tcPr>
            <w:tcW w:type="dxa" w:w="4471"/>
            <w:shd w:val="clear" w:color="auto" w:fill="F5F9F7"/>
          </w:tcPr>
          <w:p>
            <w:pPr>
              <w:spacing w:before="0" w:after="0"/>
            </w:pPr>
            <w:r>
              <w:rPr>
                <w:b/>
                <w:i w:val="0"/>
                <w:color w:val="0F3D3A"/>
                <w:sz w:val="17"/>
              </w:rPr>
              <w:t>0.763</w:t>
            </w:r>
          </w:p>
        </w:tc>
      </w:tr>
      <w:tr>
        <w:trPr>
          <w:cantSplit/>
        </w:trPr>
        <w:tc>
          <w:tcPr>
            <w:tcW w:type="dxa" w:w="5465"/>
          </w:tcPr>
          <w:p>
            <w:pPr>
              <w:spacing w:before="0" w:after="0"/>
            </w:pPr>
            <w:r>
              <w:rPr>
                <w:b w:val="0"/>
                <w:i w:val="0"/>
                <w:color w:val="16302E"/>
                <w:sz w:val="17"/>
              </w:rPr>
              <w:t>30-day mortality (external validation cohort)</w:t>
            </w:r>
          </w:p>
        </w:tc>
        <w:tc>
          <w:tcPr>
            <w:tcW w:type="dxa" w:w="4471"/>
          </w:tcPr>
          <w:p>
            <w:pPr>
              <w:spacing w:before="0" w:after="0"/>
            </w:pPr>
            <w:r>
              <w:rPr>
                <w:b/>
                <w:i w:val="0"/>
                <w:color w:val="0F3D3A"/>
                <w:sz w:val="17"/>
              </w:rPr>
              <w:t>12.7% (48/377)</w:t>
            </w:r>
          </w:p>
        </w:tc>
      </w:tr>
      <w:tr>
        <w:trPr>
          <w:cantSplit/>
        </w:trPr>
        <w:tc>
          <w:tcPr>
            <w:tcW w:type="dxa" w:w="5465"/>
            <w:shd w:val="clear" w:color="auto" w:fill="F5F9F7"/>
          </w:tcPr>
          <w:p>
            <w:pPr>
              <w:spacing w:before="0" w:after="0"/>
            </w:pPr>
            <w:r>
              <w:rPr>
                <w:b w:val="0"/>
                <w:i w:val="0"/>
                <w:color w:val="16302E"/>
                <w:sz w:val="17"/>
              </w:rPr>
              <w:t>AUROC in external validation cohort</w:t>
            </w:r>
          </w:p>
        </w:tc>
        <w:tc>
          <w:tcPr>
            <w:tcW w:type="dxa" w:w="4471"/>
            <w:shd w:val="clear" w:color="auto" w:fill="F5F9F7"/>
          </w:tcPr>
          <w:p>
            <w:pPr>
              <w:spacing w:before="0" w:after="0"/>
            </w:pPr>
            <w:r>
              <w:rPr>
                <w:b/>
                <w:i w:val="0"/>
                <w:color w:val="0F3D3A"/>
                <w:sz w:val="17"/>
              </w:rPr>
              <w:t>0.799 (95% CI 0.730 to 0.868)</w:t>
            </w:r>
          </w:p>
        </w:tc>
      </w:tr>
      <w:tr>
        <w:trPr>
          <w:cantSplit/>
        </w:trPr>
        <w:tc>
          <w:tcPr>
            <w:tcW w:type="dxa" w:w="5465"/>
          </w:tcPr>
          <w:p>
            <w:pPr>
              <w:spacing w:before="0" w:after="0"/>
            </w:pPr>
            <w:r>
              <w:rPr>
                <w:b w:val="0"/>
                <w:i w:val="0"/>
                <w:color w:val="16302E"/>
                <w:sz w:val="17"/>
              </w:rPr>
              <w:t>Calibration slope (external validation cohort)</w:t>
            </w:r>
          </w:p>
        </w:tc>
        <w:tc>
          <w:tcPr>
            <w:tcW w:type="dxa" w:w="4471"/>
          </w:tcPr>
          <w:p>
            <w:pPr>
              <w:spacing w:before="0" w:after="0"/>
            </w:pPr>
            <w:r>
              <w:rPr>
                <w:b/>
                <w:i w:val="0"/>
                <w:color w:val="0F3D3A"/>
                <w:sz w:val="17"/>
              </w:rPr>
              <w:t>1.017</w:t>
            </w:r>
          </w:p>
        </w:tc>
      </w:tr>
      <w:tr>
        <w:trPr>
          <w:cantSplit/>
        </w:trPr>
        <w:tc>
          <w:tcPr>
            <w:tcW w:type="dxa" w:w="5465"/>
            <w:shd w:val="clear" w:color="auto" w:fill="F5F9F7"/>
          </w:tcPr>
          <w:p>
            <w:pPr>
              <w:spacing w:before="0" w:after="0"/>
            </w:pPr>
            <w:r>
              <w:rPr>
                <w:b w:val="0"/>
                <w:i w:val="0"/>
                <w:color w:val="16302E"/>
                <w:sz w:val="17"/>
              </w:rPr>
              <w:t>Expected-to-observed ratio (external validation)</w:t>
            </w:r>
          </w:p>
        </w:tc>
        <w:tc>
          <w:tcPr>
            <w:tcW w:type="dxa" w:w="4471"/>
            <w:shd w:val="clear" w:color="auto" w:fill="F5F9F7"/>
          </w:tcPr>
          <w:p>
            <w:pPr>
              <w:spacing w:before="0" w:after="0"/>
            </w:pPr>
            <w:r>
              <w:rPr>
                <w:b/>
                <w:i w:val="0"/>
                <w:color w:val="0F3D3A"/>
                <w:sz w:val="17"/>
              </w:rPr>
              <w:t>1.124</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Identifying patients with left-sided infective endocarditis (LSIE) who benefit from surgical intervention or present prohibitive operative risk remains a clinical challenge. Currently, no widely validated risk models exist to estimate early 30-day mortality across the broader LSIE population, including medically treated patients. This study aimed to develop and externally validate the European Infective Endocarditis (EURO-ENDO) risk score for predicting 30-day mortality in LSIE. The prospective, multicentre ESC-EURObservational Research Programme EURO-ENDO registry included 2171 patients diagnosed with LSIE according to ESC 2015 criteria. Multivariable logistic regression was used to evaluate clinical, biological, microbiological, and imaging variables, followed by internal bootstrap validation. External validation was conducted in an independent temporal cohort of 377 consecutive patients with LSIE from two tertiary centres in Barcelona between 2019 and 2024. Among 2140 registry patients in the final analysis, 254 (11.9%) died within 30 days. Eleven variables independently predicted 30-day mortality: previous stroke/transient ischaemic attack, previous cardiac surgery, heart failure or cardiogenic shock, creatinine &gt;2 mg/dL, vegetations &gt;10 mm, severe regurgitation, abscess, negative blood cultures, Staphylococcus aureus infection, absence of surgical indication, and surgical indication without intention to operate. The model achieved an AUROC of 0.763, Hosmer-Lemeshow p=0.825, and Brier score of 0.09 in the development dataset. In the external cohort, 48 of 377 patients (12.7%) died within 30 days. External validation demonstrated an AUROC of 0.799 (95% CI 0.730 to 0.868), a calibration slope of 1.017, and an expected-to-observed ratio of 1.124. The authors concluded that the model reliably predicts individualised 30-day mortality during initial evaluation.</w:t>
      </w:r>
    </w:p>
    <w:p>
      <w:pPr>
        <w:spacing w:before="180" w:after="20"/>
      </w:pPr>
      <w:r>
        <w:rPr>
          <w:b/>
          <w:i w:val="0"/>
          <w:color w:val="2FB89A"/>
          <w:sz w:val="16"/>
        </w:rPr>
        <w:t>RELATION TO EXISTING EVIDENCE</w:t>
      </w:r>
    </w:p>
    <w:p>
      <w:pPr>
        <w:spacing w:before="0" w:after="40"/>
      </w:pPr>
      <w:r>
        <w:rPr>
          <w:b w:val="0"/>
          <w:i w:val="0"/>
          <w:color w:val="16302E"/>
          <w:sz w:val="19"/>
        </w:rPr>
        <w:t>Risk stratification in infective endocarditis has historically relied on surgical risk scores or smaller cohort models that do not universally account for medically treated patients. This study adds a dedicated, externally validated prognostic model derived from a large international prospective registry across the full spectrum of left-sided infective endocarditis.</w:t>
      </w:r>
    </w:p>
    <w:p>
      <w:pPr>
        <w:spacing w:before="180" w:after="20"/>
      </w:pPr>
      <w:r>
        <w:rPr>
          <w:b/>
          <w:i w:val="0"/>
          <w:color w:val="2FB89A"/>
          <w:sz w:val="16"/>
        </w:rPr>
        <w:t>RELATION TO GUIDELINES</w:t>
      </w:r>
    </w:p>
    <w:p>
      <w:pPr>
        <w:spacing w:before="0" w:after="40"/>
      </w:pPr>
      <w:r>
        <w:rPr>
          <w:b w:val="0"/>
          <w:i w:val="0"/>
          <w:color w:val="16302E"/>
          <w:sz w:val="19"/>
        </w:rPr>
        <w:t>The findings align with clinical guidelines that emphasise multidisciplinary Endocarditis Team evaluation and early risk stratification based on clinical, microbiological, and echocardiographic features in left-sided infective endocarditis.</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the EURO-ENDO risk score, incorporating 11 variables available during initial diagnostic evaluation, accurately predicts individualised 30-day mortality in patients with LSIE and may support early risk stratification, multidisciplinary endocarditis team discussions, and clinical decision-making.</w:t>
            </w:r>
          </w:p>
        </w:tc>
      </w:tr>
    </w:tbl>
    <w:p>
      <w:pPr>
        <w:spacing w:before="0" w:after="80"/>
      </w:pPr>
    </w:p>
    <w:p>
      <w:pPr>
        <w:spacing w:before="120"/>
      </w:pPr>
      <w:hyperlink r:id="rId14">
        <w:r>
          <w:rPr>
            <w:color w:val="2FB89A"/>
            <w:u w:val="single"/>
            <w:sz w:val="16"/>
          </w:rPr>
          <w:t>View on PubMed</w:t>
        </w:r>
      </w:hyperlink>
      <w:r>
        <w:rPr>
          <w:color w:val="5C7370"/>
          <w:sz w:val="16"/>
        </w:rPr>
        <w:t xml:space="preserve">  ·  DOI: 10.1136/heartjnl-2026-328064</w:t>
      </w:r>
    </w:p>
    <w:p>
      <w:r>
        <w:br w:type="page"/>
      </w:r>
    </w:p>
    <w:p>
      <w:pPr>
        <w:spacing w:before="0" w:after="40"/>
      </w:pPr>
      <w:r>
        <w:rPr>
          <w:b/>
          <w:i w:val="0"/>
          <w:color w:val="2FB89A"/>
          <w:sz w:val="16"/>
        </w:rPr>
        <w:t>STRUCTURAL HEART DISEASE</w:t>
      </w:r>
    </w:p>
    <w:p>
      <w:pPr>
        <w:spacing w:after="20"/>
      </w:pPr>
      <w:r>
        <w:rPr>
          <w:b/>
          <w:color w:val="2FB89A"/>
          <w:sz w:val="30"/>
        </w:rPr>
        <w:t xml:space="preserve">2  </w:t>
      </w:r>
      <w:r>
        <w:rPr>
          <w:b/>
          <w:color w:val="16302E"/>
          <w:sz w:val="30"/>
        </w:rPr>
        <w:t>Pooled Analysis of Valve-in-Valve and Valve-in-Ring Transcatheter Mitral Valve Replacement Using the SAPIEN Valve.</w:t>
      </w:r>
    </w:p>
    <w:p>
      <w:pPr>
        <w:spacing w:before="0" w:after="40"/>
      </w:pPr>
      <w:r>
        <w:rPr>
          <w:b w:val="0"/>
          <w:i w:val="0"/>
          <w:color w:val="5C7370"/>
          <w:sz w:val="17"/>
        </w:rPr>
        <w:t>J Am Heart Assoc · 2026 Sep 18 · Kharsa C., Samimi S., Agrawal A. et al.</w:t>
      </w:r>
    </w:p>
    <w:p>
      <w:pPr>
        <w:spacing w:before="0" w:after="120"/>
      </w:pPr>
      <w:r>
        <w:rPr>
          <w:b/>
          <w:i w:val="0"/>
          <w:color w:val="0F3D3A"/>
          <w:sz w:val="16"/>
        </w:rPr>
        <w:t>● META-ANALYSIS / SYSTEMATIC REVIEW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Systematic review and meta-analysis of 8 studies</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1947</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30 days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30-day all-cause mortality</w:t>
            </w:r>
          </w:p>
        </w:tc>
        <w:tc>
          <w:tcPr>
            <w:tcW w:type="dxa" w:w="4471"/>
          </w:tcPr>
          <w:p>
            <w:pPr>
              <w:spacing w:before="0" w:after="0"/>
            </w:pPr>
            <w:r>
              <w:rPr>
                <w:b/>
                <w:i w:val="0"/>
                <w:color w:val="0F3D3A"/>
                <w:sz w:val="17"/>
              </w:rPr>
              <w:t>OR: 0.70 [95% CI: 0.47-1.05]; I2=0%</w:t>
            </w:r>
          </w:p>
        </w:tc>
      </w:tr>
      <w:tr>
        <w:trPr>
          <w:cantSplit/>
        </w:trPr>
        <w:tc>
          <w:tcPr>
            <w:tcW w:type="dxa" w:w="5465"/>
            <w:shd w:val="clear" w:color="auto" w:fill="F5F9F7"/>
          </w:tcPr>
          <w:p>
            <w:pPr>
              <w:spacing w:before="0" w:after="0"/>
            </w:pPr>
            <w:r>
              <w:rPr>
                <w:b w:val="0"/>
                <w:i w:val="0"/>
                <w:color w:val="16302E"/>
                <w:sz w:val="17"/>
              </w:rPr>
              <w:t>In-hospital mortality</w:t>
            </w:r>
          </w:p>
        </w:tc>
        <w:tc>
          <w:tcPr>
            <w:tcW w:type="dxa" w:w="4471"/>
            <w:shd w:val="clear" w:color="auto" w:fill="F5F9F7"/>
          </w:tcPr>
          <w:p>
            <w:pPr>
              <w:spacing w:before="0" w:after="0"/>
            </w:pPr>
            <w:r>
              <w:rPr>
                <w:b/>
                <w:i w:val="0"/>
                <w:color w:val="0F3D3A"/>
                <w:sz w:val="17"/>
              </w:rPr>
              <w:t>OR: 1.05 [95% CI: 0.34-3.21]; I2=3%</w:t>
            </w:r>
          </w:p>
        </w:tc>
      </w:tr>
      <w:tr>
        <w:trPr>
          <w:cantSplit/>
        </w:trPr>
        <w:tc>
          <w:tcPr>
            <w:tcW w:type="dxa" w:w="5465"/>
          </w:tcPr>
          <w:p>
            <w:pPr>
              <w:spacing w:before="0" w:after="0"/>
            </w:pPr>
            <w:r>
              <w:rPr>
                <w:b w:val="0"/>
                <w:i w:val="0"/>
                <w:color w:val="16302E"/>
                <w:sz w:val="17"/>
              </w:rPr>
              <w:t>Left ventricular outflow tract obstruction</w:t>
            </w:r>
          </w:p>
        </w:tc>
        <w:tc>
          <w:tcPr>
            <w:tcW w:type="dxa" w:w="4471"/>
          </w:tcPr>
          <w:p>
            <w:pPr>
              <w:spacing w:before="0" w:after="0"/>
            </w:pPr>
            <w:r>
              <w:rPr>
                <w:b/>
                <w:i w:val="0"/>
                <w:color w:val="0F3D3A"/>
                <w:sz w:val="17"/>
              </w:rPr>
              <w:t>OR: 0.30 [95% CI: 0.18-0.51]</w:t>
            </w:r>
          </w:p>
        </w:tc>
      </w:tr>
      <w:tr>
        <w:trPr>
          <w:cantSplit/>
        </w:trPr>
        <w:tc>
          <w:tcPr>
            <w:tcW w:type="dxa" w:w="5465"/>
            <w:shd w:val="clear" w:color="auto" w:fill="F5F9F7"/>
          </w:tcPr>
          <w:p>
            <w:pPr>
              <w:spacing w:before="0" w:after="0"/>
            </w:pPr>
            <w:r>
              <w:rPr>
                <w:b w:val="0"/>
                <w:i w:val="0"/>
                <w:color w:val="16302E"/>
                <w:sz w:val="17"/>
              </w:rPr>
              <w:t>Reintervention</w:t>
            </w:r>
          </w:p>
        </w:tc>
        <w:tc>
          <w:tcPr>
            <w:tcW w:type="dxa" w:w="4471"/>
            <w:shd w:val="clear" w:color="auto" w:fill="F5F9F7"/>
          </w:tcPr>
          <w:p>
            <w:pPr>
              <w:spacing w:before="0" w:after="0"/>
            </w:pPr>
            <w:r>
              <w:rPr>
                <w:b/>
                <w:i w:val="0"/>
                <w:color w:val="0F3D3A"/>
                <w:sz w:val="17"/>
              </w:rPr>
              <w:t>OR: 0.19 [95% CI: 0.13-0.30]</w:t>
            </w:r>
          </w:p>
        </w:tc>
      </w:tr>
      <w:tr>
        <w:trPr>
          <w:cantSplit/>
        </w:trPr>
        <w:tc>
          <w:tcPr>
            <w:tcW w:type="dxa" w:w="5465"/>
          </w:tcPr>
          <w:p>
            <w:pPr>
              <w:spacing w:before="0" w:after="0"/>
            </w:pPr>
            <w:r>
              <w:rPr>
                <w:b w:val="0"/>
                <w:i w:val="0"/>
                <w:color w:val="16302E"/>
                <w:sz w:val="17"/>
              </w:rPr>
              <w:t>Acute kidney injury</w:t>
            </w:r>
          </w:p>
        </w:tc>
        <w:tc>
          <w:tcPr>
            <w:tcW w:type="dxa" w:w="4471"/>
          </w:tcPr>
          <w:p>
            <w:pPr>
              <w:spacing w:before="0" w:after="0"/>
            </w:pPr>
            <w:r>
              <w:rPr>
                <w:b/>
                <w:i w:val="0"/>
                <w:color w:val="0F3D3A"/>
                <w:sz w:val="17"/>
              </w:rPr>
              <w:t>OR: 0.51 [95% CI: 0.29-0.90]</w:t>
            </w:r>
          </w:p>
        </w:tc>
      </w:tr>
      <w:tr>
        <w:trPr>
          <w:cantSplit/>
        </w:trPr>
        <w:tc>
          <w:tcPr>
            <w:tcW w:type="dxa" w:w="5465"/>
            <w:shd w:val="clear" w:color="auto" w:fill="F5F9F7"/>
          </w:tcPr>
          <w:p>
            <w:pPr>
              <w:spacing w:before="0" w:after="0"/>
            </w:pPr>
            <w:r>
              <w:rPr>
                <w:b w:val="0"/>
                <w:i w:val="0"/>
                <w:color w:val="16302E"/>
                <w:sz w:val="17"/>
              </w:rPr>
              <w:t>Analyzed cohort breakdown</w:t>
            </w:r>
          </w:p>
        </w:tc>
        <w:tc>
          <w:tcPr>
            <w:tcW w:type="dxa" w:w="4471"/>
            <w:shd w:val="clear" w:color="auto" w:fill="F5F9F7"/>
          </w:tcPr>
          <w:p>
            <w:pPr>
              <w:spacing w:before="0" w:after="0"/>
            </w:pPr>
            <w:r>
              <w:rPr>
                <w:b/>
                <w:i w:val="0"/>
                <w:color w:val="0F3D3A"/>
                <w:sz w:val="17"/>
              </w:rPr>
              <w:t>ViV-TMVR: 1435; ViR-TMVR: 512</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Transcatheter mitral valve replacement (TMVR) using the Sapien transcatheter heart valve is utilized for high-risk patients with failed mitral bioprosthetic valves or prior surgical mitral valve repairs. Differences in anatomy and procedural complexity between valve-in-valve TMVR (ViV-TMVR) and valve-in-ring TMVR (ViR-TMVR) may influence clinical outcomes. The authors performed a systematic review searching OVID Medline, Embase, SCOPUS, Web of Science, and Cochrane for studies published between 2015 and 2022 comparing both techniques. Eight studies encompassing 1947 patients were analyzed, comprising 1435 patients receiving ViV-TMVR and 512 receiving ViR-TMVR. Patients undergoing ViV-TMVR were older and had a higher baseline comorbidity burden than those receiving ViR-TMVR. The primary endpoint was 30-day all-cause mortality, evaluated using random-effects models. Secondary endpoints included in-hospital mortality, stroke, acute kidney injury, major bleeding, reintervention, left ventricular outflow tract obstruction, and device embolization. No significant difference was observed between groups in 30-day mortality (OR: 0.70 [95% CI: 0.47-1.05]; I2=0%) or in-hospital mortality (OR: 1.05 [95% CI: 0.34-3.21]; I2=3%). Rates of stroke, major bleeding, and device embolization also did not differ significantly between ViV-TMVR and ViR-TMVR. However, ViV-TMVR was associated with a significantly lower rate of left ventricular outflow tract obstruction (OR: 0.30 [95% CI: 0.18-0.51]). Additionally, ViV-TMVR was associated with reduced rates of reintervention (OR: 0.19 [95% CI: 0.13-0.30]) and acute kidney injury (OR: 0.51 [95% CI: 0.29-0.90]), without significant heterogeneity. Study limitations were not detailed in the abstract. The authors concluded that these findings may inform patient selection and procedural planning for transcatheter mitral valve interventions.</w:t>
      </w:r>
    </w:p>
    <w:p>
      <w:pPr>
        <w:spacing w:before="180" w:after="20"/>
      </w:pPr>
      <w:r>
        <w:rPr>
          <w:b/>
          <w:i w:val="0"/>
          <w:color w:val="2FB89A"/>
          <w:sz w:val="16"/>
        </w:rPr>
        <w:t>RELATION TO EXISTING EVIDENCE</w:t>
      </w:r>
    </w:p>
    <w:p>
      <w:pPr>
        <w:spacing w:before="0" w:after="40"/>
      </w:pPr>
      <w:r>
        <w:rPr>
          <w:b w:val="0"/>
          <w:i w:val="0"/>
          <w:color w:val="16302E"/>
          <w:sz w:val="19"/>
        </w:rPr>
        <w:t>Transcatheter mitral valve replacement represents a therapeutic option for patients with failed surgical bioprostheses or prior mitral valve annuloplasty rings who are at high surgical risk. This pooled analysis summarizes comparative procedural and 30-day outcomes between ViV-TMVR and ViR-TMVR cohorts.</w:t>
      </w:r>
    </w:p>
    <w:p>
      <w:pPr>
        <w:spacing w:before="180" w:after="20"/>
      </w:pPr>
      <w:r>
        <w:rPr>
          <w:b/>
          <w:i w:val="0"/>
          <w:color w:val="2FB89A"/>
          <w:sz w:val="16"/>
        </w:rPr>
        <w:t>RELATION TO GUIDELINES</w:t>
      </w:r>
    </w:p>
    <w:p>
      <w:pPr>
        <w:spacing w:before="0" w:after="40"/>
      </w:pPr>
      <w:r>
        <w:rPr>
          <w:b w:val="0"/>
          <w:i w:val="0"/>
          <w:color w:val="16302E"/>
          <w:sz w:val="19"/>
        </w:rPr>
        <w:t>Current valvular heart disease guidelines address transcatheter mitral interventions in high-risk patients with failed previous surgical mitral valve repairs or bioprosthetic valves. These findings provide pooled comparative data regarding procedural risks such as left ventricular outflow tract obstruction and reintervention across these two anatomical settings.</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compared with ViR-TMVR, ViV-TMVR was associated with lower rates of left ventricular outflow tract obstruction, reintervention, and acute kidney injury, whereas mortality and other major complications were comparable.</w:t>
            </w:r>
          </w:p>
        </w:tc>
      </w:tr>
    </w:tbl>
    <w:p>
      <w:pPr>
        <w:spacing w:before="0" w:after="80"/>
      </w:pPr>
    </w:p>
    <w:p>
      <w:pPr>
        <w:spacing w:before="120"/>
      </w:pPr>
      <w:hyperlink r:id="rId15">
        <w:r>
          <w:rPr>
            <w:color w:val="2FB89A"/>
            <w:u w:val="single"/>
            <w:sz w:val="16"/>
          </w:rPr>
          <w:t>View on PubMed</w:t>
        </w:r>
      </w:hyperlink>
      <w:r>
        <w:rPr>
          <w:color w:val="5C7370"/>
          <w:sz w:val="16"/>
        </w:rPr>
        <w:t xml:space="preserve">  ·  DOI: 10.1161/JAHA.125.044789</w:t>
      </w:r>
    </w:p>
    <w:p>
      <w:r>
        <w:br w:type="page"/>
      </w:r>
    </w:p>
    <w:p>
      <w:pPr>
        <w:spacing w:before="0" w:after="40"/>
      </w:pPr>
      <w:r>
        <w:rPr>
          <w:b/>
          <w:i w:val="0"/>
          <w:color w:val="2FB89A"/>
          <w:sz w:val="16"/>
        </w:rPr>
        <w:t>STRUCTURAL HEART DISEASE</w:t>
      </w:r>
    </w:p>
    <w:p>
      <w:pPr>
        <w:spacing w:after="20"/>
      </w:pPr>
      <w:r>
        <w:rPr>
          <w:b/>
          <w:color w:val="2FB89A"/>
          <w:sz w:val="30"/>
        </w:rPr>
        <w:t xml:space="preserve">3  </w:t>
      </w:r>
      <w:r>
        <w:rPr>
          <w:b/>
          <w:color w:val="16302E"/>
          <w:sz w:val="30"/>
        </w:rPr>
        <w:t>Comparative Outcomes of Transcatheter Versus Surgical Aortic Valve Replacement in Patients With Heart Failure and Chronic Kidney Disease.</w:t>
      </w:r>
    </w:p>
    <w:p>
      <w:pPr>
        <w:spacing w:before="0" w:after="40"/>
      </w:pPr>
      <w:r>
        <w:rPr>
          <w:b w:val="0"/>
          <w:i w:val="0"/>
          <w:color w:val="5C7370"/>
          <w:sz w:val="17"/>
        </w:rPr>
        <w:t>J Am Heart Assoc · 2026 Sep 18 · Mortada I., Lee A., Dileep J. et al.</w:t>
      </w:r>
    </w:p>
    <w:p>
      <w:pPr>
        <w:spacing w:before="0" w:after="120"/>
      </w:pPr>
      <w:r>
        <w:rPr>
          <w:b/>
          <w:i w:val="0"/>
          <w:color w:val="0F3D3A"/>
          <w:sz w:val="16"/>
        </w:rPr>
        <w:t>● LARGE OBSERVATIONAL / REGISTRY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Retrospective propensity score-matched study</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10808 (2068 matched)</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2 years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All-cause death (TAVI vs SAVR)</w:t>
            </w:r>
          </w:p>
        </w:tc>
        <w:tc>
          <w:tcPr>
            <w:tcW w:type="dxa" w:w="4471"/>
          </w:tcPr>
          <w:p>
            <w:pPr>
              <w:spacing w:before="0" w:after="0"/>
            </w:pPr>
            <w:r>
              <w:rPr>
                <w:b/>
                <w:i w:val="0"/>
                <w:color w:val="0F3D3A"/>
                <w:sz w:val="17"/>
              </w:rPr>
              <w:t>HR, 1.56 [95% CI, 1.21-2.01]</w:t>
            </w:r>
          </w:p>
        </w:tc>
      </w:tr>
      <w:tr>
        <w:trPr>
          <w:cantSplit/>
        </w:trPr>
        <w:tc>
          <w:tcPr>
            <w:tcW w:type="dxa" w:w="5465"/>
            <w:shd w:val="clear" w:color="auto" w:fill="F5F9F7"/>
          </w:tcPr>
          <w:p>
            <w:pPr>
              <w:spacing w:before="0" w:after="0"/>
            </w:pPr>
            <w:r>
              <w:rPr>
                <w:b w:val="0"/>
                <w:i w:val="0"/>
                <w:color w:val="16302E"/>
                <w:sz w:val="17"/>
              </w:rPr>
              <w:t>Acute kidney injury (TAVI vs SAVR)</w:t>
            </w:r>
          </w:p>
        </w:tc>
        <w:tc>
          <w:tcPr>
            <w:tcW w:type="dxa" w:w="4471"/>
            <w:shd w:val="clear" w:color="auto" w:fill="F5F9F7"/>
          </w:tcPr>
          <w:p>
            <w:pPr>
              <w:spacing w:before="0" w:after="0"/>
            </w:pPr>
            <w:r>
              <w:rPr>
                <w:b/>
                <w:i w:val="0"/>
                <w:color w:val="0F3D3A"/>
                <w:sz w:val="17"/>
              </w:rPr>
              <w:t>HR, 0.69 [95% CI, 0.60-0.80]</w:t>
            </w:r>
          </w:p>
        </w:tc>
      </w:tr>
      <w:tr>
        <w:trPr>
          <w:cantSplit/>
        </w:trPr>
        <w:tc>
          <w:tcPr>
            <w:tcW w:type="dxa" w:w="5465"/>
          </w:tcPr>
          <w:p>
            <w:pPr>
              <w:spacing w:before="0" w:after="0"/>
            </w:pPr>
            <w:r>
              <w:rPr>
                <w:b w:val="0"/>
                <w:i w:val="0"/>
                <w:color w:val="16302E"/>
                <w:sz w:val="17"/>
              </w:rPr>
              <w:t>Acute myocardial infarction (TAVI vs SAVR)</w:t>
            </w:r>
          </w:p>
        </w:tc>
        <w:tc>
          <w:tcPr>
            <w:tcW w:type="dxa" w:w="4471"/>
          </w:tcPr>
          <w:p>
            <w:pPr>
              <w:spacing w:before="0" w:after="0"/>
            </w:pPr>
            <w:r>
              <w:rPr>
                <w:b/>
                <w:i w:val="0"/>
                <w:color w:val="0F3D3A"/>
                <w:sz w:val="17"/>
              </w:rPr>
              <w:t>HR, 1.12 [95% CI, 0.87-1.44]</w:t>
            </w:r>
          </w:p>
        </w:tc>
      </w:tr>
      <w:tr>
        <w:trPr>
          <w:cantSplit/>
        </w:trPr>
        <w:tc>
          <w:tcPr>
            <w:tcW w:type="dxa" w:w="5465"/>
            <w:shd w:val="clear" w:color="auto" w:fill="F5F9F7"/>
          </w:tcPr>
          <w:p>
            <w:pPr>
              <w:spacing w:before="0" w:after="0"/>
            </w:pPr>
            <w:r>
              <w:rPr>
                <w:b w:val="0"/>
                <w:i w:val="0"/>
                <w:color w:val="16302E"/>
                <w:sz w:val="17"/>
              </w:rPr>
              <w:t>Ischemic stroke (TAVI vs SAVR)</w:t>
            </w:r>
          </w:p>
        </w:tc>
        <w:tc>
          <w:tcPr>
            <w:tcW w:type="dxa" w:w="4471"/>
            <w:shd w:val="clear" w:color="auto" w:fill="F5F9F7"/>
          </w:tcPr>
          <w:p>
            <w:pPr>
              <w:spacing w:before="0" w:after="0"/>
            </w:pPr>
            <w:r>
              <w:rPr>
                <w:b/>
                <w:i w:val="0"/>
                <w:color w:val="0F3D3A"/>
                <w:sz w:val="17"/>
              </w:rPr>
              <w:t>HR, 1.11 [95% CI, 0.85-1.45]</w:t>
            </w:r>
          </w:p>
        </w:tc>
      </w:tr>
      <w:tr>
        <w:trPr>
          <w:cantSplit/>
        </w:trPr>
        <w:tc>
          <w:tcPr>
            <w:tcW w:type="dxa" w:w="5465"/>
          </w:tcPr>
          <w:p>
            <w:pPr>
              <w:spacing w:before="0" w:after="0"/>
            </w:pPr>
            <w:r>
              <w:rPr>
                <w:b w:val="0"/>
                <w:i w:val="0"/>
                <w:color w:val="16302E"/>
                <w:sz w:val="17"/>
              </w:rPr>
              <w:t>All-cause hospitalization (TAVI vs SAVR)</w:t>
            </w:r>
          </w:p>
        </w:tc>
        <w:tc>
          <w:tcPr>
            <w:tcW w:type="dxa" w:w="4471"/>
          </w:tcPr>
          <w:p>
            <w:pPr>
              <w:spacing w:before="0" w:after="0"/>
            </w:pPr>
            <w:r>
              <w:rPr>
                <w:b/>
                <w:i w:val="0"/>
                <w:color w:val="0F3D3A"/>
                <w:sz w:val="17"/>
              </w:rPr>
              <w:t>HR, 0.90 [95% CI, 0.81-1.00]</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Evidence comparing intermediate-term outcomes of transcatheter aortic valve implantation (TAVI) versus surgical aortic valve replacement (SAVR) in patients with concomitant heart failure and chronic kidney disease remains limited. This retrospective study utilized data from the TriNetX Global Collaborative Network between January 2020 and December 2025. The study population included adults with heart failure and chronic kidney disease undergoing either TAVI or SAVR. Patients with redo procedures, history of endocarditis, prior heart transplant, ventricular assist device placement, or concomitant valve surgery were excluded. Before matching, the cohort included 9575 patients who underwent TAVI and 1233 who underwent SAVR. Propensity score matching across 21 covariates yielded 1034 matched patients in each procedural group. The primary outcome was all-cause death evaluated over 2 years of follow-up using Cox proportional hazards models. Secondary outcomes comprised acute myocardial infarction, ischemic stroke, acute kidney injury, and all-cause hospitalization. During follow-up, TAVI was associated with a higher mortality rate compared with SAVR (hazard ratio [HR], 1.56 [95% CI, 1.21-2.01]). Conversely, TAVI was associated with a lower risk of acute kidney injury compared with SAVR (HR, 0.69 [95% CI, 0.60-0.80]). Risks of acute myocardial infarction (HR, 1.12 [95% CI, 0.87-1.44]), ischemic stroke (HR, 1.11 [95% CI, 0.85-1.45]), and all-cause hospitalization (HR, 0.90 [95% CI, 0.81-1.00]) did not show statistically significant differences between groups. Sensitivity analyses across alternative modeling strategies demonstrated directionally consistent results. The study abstract did not report specific post-hoc subgroup analyses or unmeasured confounding limitations.</w:t>
      </w:r>
    </w:p>
    <w:p>
      <w:pPr>
        <w:spacing w:before="180" w:after="20"/>
      </w:pPr>
      <w:r>
        <w:rPr>
          <w:b/>
          <w:i w:val="0"/>
          <w:color w:val="2FB89A"/>
          <w:sz w:val="16"/>
        </w:rPr>
        <w:t>RELATION TO EXISTING EVIDENCE</w:t>
      </w:r>
    </w:p>
    <w:p>
      <w:pPr>
        <w:spacing w:before="0" w:after="40"/>
      </w:pPr>
      <w:r>
        <w:rPr>
          <w:b w:val="0"/>
          <w:i w:val="0"/>
          <w:color w:val="16302E"/>
          <w:sz w:val="19"/>
        </w:rPr>
        <w:t>The comparative effectiveness of TAVI versus SAVR across complex subgroups with combined cardiorenal disease has been an area of ongoing investigation. These findings contribute observational data on intermediate-term survival and renal outcomes in this specific multimorbid population.</w:t>
      </w:r>
    </w:p>
    <w:p>
      <w:pPr>
        <w:spacing w:before="180" w:after="20"/>
      </w:pPr>
      <w:r>
        <w:rPr>
          <w:b/>
          <w:i w:val="0"/>
          <w:color w:val="2FB89A"/>
          <w:sz w:val="16"/>
        </w:rPr>
        <w:t>RELATION TO GUIDELINES</w:t>
      </w:r>
    </w:p>
    <w:p>
      <w:pPr>
        <w:spacing w:before="0" w:after="40"/>
      </w:pPr>
      <w:r>
        <w:rPr>
          <w:b w:val="0"/>
          <w:i w:val="0"/>
          <w:color w:val="16302E"/>
          <w:sz w:val="19"/>
        </w:rPr>
        <w:t>Current valvular heart disease guidelines weigh procedural risks, surgical risk scores, and patient comorbidities when evaluating patients for TAVI versus SAVR. These observational findings describe procedural trade-offs between mortality and renal complications in patients with concomitant heart failure and chronic kidney disease.</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in this contemporary-era cohort of patients with heart failure and chronic kidney disease, SAVR was associated with a lower mortality rate, whereas TAVI was associated with less acute kidney injury, suggesting important trade-offs between procedural strategies in high-risk cardiorenal populations.</w:t>
            </w:r>
          </w:p>
        </w:tc>
      </w:tr>
    </w:tbl>
    <w:p>
      <w:pPr>
        <w:spacing w:before="0" w:after="80"/>
      </w:pPr>
    </w:p>
    <w:p>
      <w:pPr>
        <w:spacing w:before="120"/>
      </w:pPr>
      <w:hyperlink r:id="rId16">
        <w:r>
          <w:rPr>
            <w:color w:val="2FB89A"/>
            <w:u w:val="single"/>
            <w:sz w:val="16"/>
          </w:rPr>
          <w:t>View on PubMed</w:t>
        </w:r>
      </w:hyperlink>
      <w:r>
        <w:rPr>
          <w:color w:val="5C7370"/>
          <w:sz w:val="16"/>
        </w:rPr>
        <w:t xml:space="preserve">  ·  DOI: 10.1161/JAHA.126.051598</w:t>
      </w:r>
    </w:p>
    <w:p>
      <w:r>
        <w:br w:type="page"/>
      </w:r>
    </w:p>
    <w:p>
      <w:pPr>
        <w:spacing w:before="0" w:after="40"/>
      </w:pPr>
      <w:r>
        <w:rPr>
          <w:b/>
          <w:i w:val="0"/>
          <w:color w:val="2FB89A"/>
          <w:sz w:val="16"/>
        </w:rPr>
        <w:t>STRUCTURAL HEART DISEASE</w:t>
      </w:r>
    </w:p>
    <w:p>
      <w:pPr>
        <w:spacing w:after="20"/>
      </w:pPr>
      <w:r>
        <w:rPr>
          <w:b/>
          <w:color w:val="2FB89A"/>
          <w:sz w:val="30"/>
        </w:rPr>
        <w:t xml:space="preserve">4  </w:t>
      </w:r>
      <w:r>
        <w:rPr>
          <w:b/>
          <w:color w:val="16302E"/>
          <w:sz w:val="30"/>
        </w:rPr>
        <w:t>Comparison of a Novel Occluder Versus Traditional Occluder in Atrial Septal Defect: A Randomized Trial.</w:t>
      </w:r>
    </w:p>
    <w:p>
      <w:pPr>
        <w:spacing w:before="0" w:after="40"/>
      </w:pPr>
      <w:r>
        <w:rPr>
          <w:b w:val="0"/>
          <w:i w:val="0"/>
          <w:color w:val="5C7370"/>
          <w:sz w:val="17"/>
        </w:rPr>
        <w:t>J Am Heart Assoc · 2026 Sep 18 · Fang Y., Li M., Zhang Z. et al.</w:t>
      </w:r>
    </w:p>
    <w:p>
      <w:pPr>
        <w:spacing w:before="0" w:after="120"/>
      </w:pPr>
      <w:r>
        <w:rPr>
          <w:b/>
          <w:i w:val="0"/>
          <w:color w:val="0F3D3A"/>
          <w:sz w:val="16"/>
        </w:rPr>
        <w:t>● RCT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Multicenter, randomized, parallel-controlled, noninferiority clinical trial</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126</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12 months</w:t>
            </w:r>
          </w:p>
          <w:p>
            <w:pPr>
              <w:spacing w:before="0" w:after="0"/>
            </w:pPr>
            <w:r>
              <w:rPr>
                <w:b w:val="0"/>
                <w:i w:val="0"/>
                <w:color w:val="5C7370"/>
                <w:sz w:val="14"/>
              </w:rPr>
              <w:t>FOLLOW-UP</w:t>
            </w:r>
          </w:p>
        </w:tc>
      </w:tr>
    </w:tbl>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60"/>
            </w:pPr>
            <w:r>
              <w:rPr>
                <w:b/>
                <w:i w:val="0"/>
                <w:color w:val="0A2C2A"/>
                <w:sz w:val="16"/>
              </w:rPr>
              <w:t>PRIMARY ENDPOINT — Complete closure rate at 12 months post implantation</w:t>
            </w:r>
          </w:p>
          <w:p>
            <w:pPr>
              <w:spacing w:after="40"/>
              <w:jc w:val="center"/>
            </w:pPr>
            <w:r>
              <w:drawing>
                <wp:inline xmlns:a="http://schemas.openxmlformats.org/drawingml/2006/main" xmlns:pic="http://schemas.openxmlformats.org/drawingml/2006/picture">
                  <wp:extent cx="2926080" cy="1592132"/>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926080" cy="1592132"/>
                          </a:xfrm>
                          <a:prstGeom prst="rect"/>
                        </pic:spPr>
                      </pic:pic>
                    </a:graphicData>
                  </a:graphic>
                </wp:inline>
              </w:drawing>
            </w:r>
          </w:p>
          <w:p>
            <w:pPr>
              <w:spacing w:before="0" w:after="0"/>
            </w:pPr>
            <w:r>
              <w:rPr>
                <w:b w:val="0"/>
                <w:i w:val="0"/>
                <w:color w:val="16302E"/>
                <w:sz w:val="18"/>
              </w:rPr>
              <w:t>95% CI, -4.4% to 4.3%</w:t>
            </w:r>
          </w:p>
        </w:tc>
      </w:tr>
    </w:tbl>
    <w:p>
      <w:pPr>
        <w:spacing w:before="0" w:after="80"/>
      </w:pPr>
    </w:p>
    <w:p>
      <w:pPr>
        <w:spacing w:before="180" w:after="20"/>
      </w:pPr>
      <w:r>
        <w:rPr>
          <w:b/>
          <w:i w:val="0"/>
          <w:color w:val="2FB89A"/>
          <w:sz w:val="16"/>
        </w:rPr>
        <w:t>OTHER ENDPOINTS</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3974"/>
            <w:shd w:val="clear" w:color="auto" w:fill="0F3D3A"/>
          </w:tcPr>
          <w:p>
            <w:pPr>
              <w:spacing w:before="0" w:after="0"/>
            </w:pPr>
            <w:r>
              <w:rPr>
                <w:b/>
                <w:i w:val="0"/>
                <w:color w:val="FFFFFF"/>
                <w:sz w:val="15"/>
              </w:rPr>
              <w:t>Endpoint</w:t>
            </w:r>
          </w:p>
        </w:tc>
        <w:tc>
          <w:tcPr>
            <w:tcW w:type="dxa" w:w="1590"/>
            <w:shd w:val="clear" w:color="auto" w:fill="0F3D3A"/>
          </w:tcPr>
          <w:p>
            <w:pPr>
              <w:spacing w:before="0" w:after="0"/>
            </w:pPr>
            <w:r>
              <w:rPr>
                <w:b/>
                <w:i w:val="0"/>
                <w:color w:val="FFFFFF"/>
                <w:sz w:val="15"/>
              </w:rPr>
              <w:t>ReAces</w:t>
            </w:r>
          </w:p>
        </w:tc>
        <w:tc>
          <w:tcPr>
            <w:tcW w:type="dxa" w:w="1590"/>
            <w:shd w:val="clear" w:color="auto" w:fill="0F3D3A"/>
          </w:tcPr>
          <w:p>
            <w:pPr>
              <w:spacing w:before="0" w:after="0"/>
            </w:pPr>
            <w:r>
              <w:rPr>
                <w:b/>
                <w:i w:val="0"/>
                <w:color w:val="FFFFFF"/>
                <w:sz w:val="15"/>
              </w:rPr>
              <w:t>Traditional occluder</w:t>
            </w:r>
          </w:p>
        </w:tc>
        <w:tc>
          <w:tcPr>
            <w:tcW w:type="dxa" w:w="2782"/>
            <w:shd w:val="clear" w:color="auto" w:fill="0F3D3A"/>
          </w:tcPr>
          <w:p>
            <w:pPr>
              <w:spacing w:before="0" w:after="0"/>
            </w:pPr>
            <w:r>
              <w:rPr>
                <w:b/>
                <w:i w:val="0"/>
                <w:color w:val="FFFFFF"/>
                <w:sz w:val="15"/>
              </w:rPr>
              <w:t>Effect</w:t>
            </w:r>
          </w:p>
        </w:tc>
      </w:tr>
      <w:tr>
        <w:trPr>
          <w:cantSplit/>
        </w:trPr>
        <w:tc>
          <w:tcPr>
            <w:tcW w:type="dxa" w:w="3974"/>
          </w:tcPr>
          <w:p>
            <w:pPr>
              <w:spacing w:before="0" w:after="0"/>
            </w:pPr>
            <w:r>
              <w:rPr>
                <w:b w:val="0"/>
                <w:i w:val="0"/>
                <w:color w:val="16302E"/>
                <w:sz w:val="16"/>
              </w:rPr>
              <w:t>Thickness of the central region at 12-month follow-up</w:t>
            </w:r>
          </w:p>
        </w:tc>
        <w:tc>
          <w:tcPr>
            <w:tcW w:type="dxa" w:w="1590"/>
          </w:tcPr>
          <w:p>
            <w:pPr>
              <w:spacing w:before="0" w:after="0"/>
            </w:pPr>
            <w:r>
              <w:rPr>
                <w:b/>
                <w:i w:val="0"/>
                <w:color w:val="16302E"/>
                <w:sz w:val="16"/>
              </w:rPr>
              <w:t>6.8±3.7 mm</w:t>
            </w:r>
          </w:p>
        </w:tc>
        <w:tc>
          <w:tcPr>
            <w:tcW w:type="dxa" w:w="1590"/>
          </w:tcPr>
          <w:p>
            <w:pPr>
              <w:spacing w:before="0" w:after="0"/>
            </w:pPr>
            <w:r>
              <w:rPr>
                <w:b/>
                <w:i w:val="0"/>
                <w:color w:val="16302E"/>
                <w:sz w:val="16"/>
              </w:rPr>
              <w:t>12.2±5.2 mm</w:t>
            </w:r>
          </w:p>
        </w:tc>
        <w:tc>
          <w:tcPr>
            <w:tcW w:type="dxa" w:w="2782"/>
          </w:tcPr>
          <w:p>
            <w:pPr>
              <w:spacing w:before="0" w:after="0"/>
            </w:pPr>
            <w:r>
              <w:rPr>
                <w:b w:val="0"/>
                <w:i w:val="0"/>
                <w:color w:val="16302E"/>
                <w:sz w:val="16"/>
              </w:rPr>
              <w:t>P&lt;0.0001</w:t>
            </w:r>
          </w:p>
        </w:tc>
      </w:tr>
      <w:tr>
        <w:trPr>
          <w:cantSplit/>
        </w:trPr>
        <w:tc>
          <w:tcPr>
            <w:tcW w:type="dxa" w:w="3974"/>
            <w:shd w:val="clear" w:color="auto" w:fill="F5F9F7"/>
          </w:tcPr>
          <w:p>
            <w:pPr>
              <w:spacing w:before="0" w:after="0"/>
            </w:pPr>
            <w:r>
              <w:rPr>
                <w:b w:val="0"/>
                <w:i w:val="0"/>
                <w:color w:val="16302E"/>
                <w:sz w:val="16"/>
              </w:rPr>
              <w:t>Migraine Disability Assessment score at 1-month follow-up</w:t>
            </w:r>
          </w:p>
        </w:tc>
        <w:tc>
          <w:tcPr>
            <w:tcW w:type="dxa" w:w="1590"/>
            <w:shd w:val="clear" w:color="auto" w:fill="F5F9F7"/>
          </w:tcPr>
          <w:p>
            <w:pPr>
              <w:spacing w:before="0" w:after="0"/>
            </w:pPr>
            <w:r>
              <w:rPr>
                <w:b/>
                <w:i w:val="0"/>
                <w:color w:val="16302E"/>
                <w:sz w:val="16"/>
              </w:rPr>
              <w:t>0.4±2.4</w:t>
            </w:r>
          </w:p>
        </w:tc>
        <w:tc>
          <w:tcPr>
            <w:tcW w:type="dxa" w:w="1590"/>
            <w:shd w:val="clear" w:color="auto" w:fill="F5F9F7"/>
          </w:tcPr>
          <w:p>
            <w:pPr>
              <w:spacing w:before="0" w:after="0"/>
            </w:pPr>
            <w:r>
              <w:rPr>
                <w:b/>
                <w:i w:val="0"/>
                <w:color w:val="16302E"/>
                <w:sz w:val="16"/>
              </w:rPr>
              <w:t>1.4±4.1</w:t>
            </w:r>
          </w:p>
        </w:tc>
        <w:tc>
          <w:tcPr>
            <w:tcW w:type="dxa" w:w="2782"/>
            <w:shd w:val="clear" w:color="auto" w:fill="F5F9F7"/>
          </w:tcPr>
          <w:p>
            <w:pPr>
              <w:spacing w:before="0" w:after="0"/>
            </w:pPr>
            <w:r>
              <w:rPr>
                <w:b w:val="0"/>
                <w:i w:val="0"/>
                <w:color w:val="16302E"/>
                <w:sz w:val="16"/>
              </w:rPr>
              <w:t>P=0.042</w:t>
            </w:r>
          </w:p>
        </w:tc>
      </w:tr>
      <w:tr>
        <w:trPr>
          <w:cantSplit/>
        </w:trPr>
        <w:tc>
          <w:tcPr>
            <w:tcW w:type="dxa" w:w="3974"/>
          </w:tcPr>
          <w:p>
            <w:pPr>
              <w:spacing w:before="0" w:after="0"/>
            </w:pPr>
            <w:r>
              <w:rPr>
                <w:b w:val="0"/>
                <w:i w:val="0"/>
                <w:color w:val="16302E"/>
                <w:sz w:val="16"/>
              </w:rPr>
              <w:t>Proportion of patients with nonzero Migraine Disability Assessment score at 1-month follow-up</w:t>
            </w:r>
          </w:p>
        </w:tc>
        <w:tc>
          <w:tcPr>
            <w:tcW w:type="dxa" w:w="1590"/>
          </w:tcPr>
          <w:p>
            <w:pPr>
              <w:spacing w:before="0" w:after="0"/>
            </w:pPr>
            <w:r>
              <w:rPr>
                <w:b/>
                <w:i w:val="0"/>
                <w:color w:val="16302E"/>
                <w:sz w:val="16"/>
              </w:rPr>
              <w:t>5.6%</w:t>
            </w:r>
          </w:p>
        </w:tc>
        <w:tc>
          <w:tcPr>
            <w:tcW w:type="dxa" w:w="1590"/>
          </w:tcPr>
          <w:p>
            <w:pPr>
              <w:spacing w:before="0" w:after="0"/>
            </w:pPr>
            <w:r>
              <w:rPr>
                <w:b/>
                <w:i w:val="0"/>
                <w:color w:val="16302E"/>
                <w:sz w:val="16"/>
              </w:rPr>
              <w:t>18.2%</w:t>
            </w:r>
          </w:p>
        </w:tc>
        <w:tc>
          <w:tcPr>
            <w:tcW w:type="dxa" w:w="2782"/>
          </w:tcPr>
          <w:p>
            <w:pPr>
              <w:spacing w:before="0" w:after="0"/>
            </w:pPr>
            <w:r>
              <w:rPr>
                <w:b w:val="0"/>
                <w:i w:val="0"/>
                <w:color w:val="16302E"/>
                <w:sz w:val="16"/>
              </w:rPr>
              <w:t>P=0.042</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Traditional occluders for atrial septal defect have limitations, including incomplete endothelialization and challenges in achieving transseptal puncture following implantation. The novel ReAces occluder was designed to address these two specific clinical concerns. This multicenter, randomized, parallel-controlled, noninferiority clinical trial evaluated the efficacy and safety of the ReAces device compared with a traditional Amplatzer-like occluder. A total of 126 patients with atrial septal defects were enrolled and randomized in the study. Sixty-two patients received the ReAces device, while 64 patients were implanted with a traditional occluder. The primary outcome of the investigation was the complete closure rate evaluated at 12 months post-implantation. At the 12-month follow-up, complete closure occurred in 98.4% of patients (61/62) in the trial group and 98.4% of patients (63/64) in the control group. These closure rates demonstrated statistical noninferiority with a 95% confidence interval of -4.4% to 4.3%. Regarding safety, no severe adverse events occurred during the 12 months of follow-up, with the exception of one case of device dislodgement in the trial group. At 12 months, the thickness of the central region of the ReAces device was significantly lower than that of the traditional device (6.8±3.7 mm versus 12.2±5.2 mm, P&lt;0.0001). Additionally, the trial group demonstrated a significantly lower Migraine Disability Assessment score at 1-month follow-up compared to the control group (0.4±2.4 versus 1.4±4.1, P=0.042). The proportion of patients with a nonzero Migraine Disability Assessment score at 1 month was also significantly lower in the trial group (5.6% versus 18.2%, P=0.042). Specific trial limitations were not stated in the abstract. The authors concluded that the efficacy of ReAces was noninferior to that of a traditional occluder, while providing a thinner central region and lower 1-month migraine disability scores.</w:t>
      </w:r>
    </w:p>
    <w:p>
      <w:pPr>
        <w:spacing w:before="180" w:after="20"/>
      </w:pPr>
      <w:r>
        <w:rPr>
          <w:b/>
          <w:i w:val="0"/>
          <w:color w:val="2FB89A"/>
          <w:sz w:val="16"/>
        </w:rPr>
        <w:t>RELATION TO EXISTING EVIDENCE</w:t>
      </w:r>
    </w:p>
    <w:p>
      <w:pPr>
        <w:spacing w:before="0" w:after="40"/>
      </w:pPr>
      <w:r>
        <w:rPr>
          <w:b w:val="0"/>
          <w:i w:val="0"/>
          <w:color w:val="16302E"/>
          <w:sz w:val="19"/>
        </w:rPr>
        <w:t>Transcatheter closure using Amplatzer-like occluders represents established management for anatomically suitable atrial septal defects. This trial adds randomized comparative evidence evaluating a novel device design intended to modify device thickness and address post-procedural migraine symptoms.</w:t>
      </w:r>
    </w:p>
    <w:p>
      <w:pPr>
        <w:spacing w:before="180" w:after="20"/>
      </w:pPr>
      <w:r>
        <w:rPr>
          <w:b/>
          <w:i w:val="0"/>
          <w:color w:val="2FB89A"/>
          <w:sz w:val="16"/>
        </w:rPr>
        <w:t>RELATION TO GUIDELINES</w:t>
      </w:r>
    </w:p>
    <w:p>
      <w:pPr>
        <w:spacing w:before="0" w:after="40"/>
      </w:pPr>
      <w:r>
        <w:rPr>
          <w:b w:val="0"/>
          <w:i w:val="0"/>
          <w:color w:val="16302E"/>
          <w:sz w:val="19"/>
        </w:rPr>
        <w:t>Current clinical practice guidelines support transcatheter device closure as a standard approach for secundum atrial septal defects with suitable anatomy. These findings provide comparative device-specific noninferiority data without altering established guideline-directed indications for transcatheter defect closure.</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the efficacy of ReAces was noninferior to that of a traditional Amplatzer-like occluder for transcatheter atrial septal defect closure. They also conclude that ReAces had a thinner central region during follow-up and a lower Migraine Disability Assessment score at 1-month follow-up.</w:t>
            </w:r>
          </w:p>
        </w:tc>
      </w:tr>
    </w:tbl>
    <w:p>
      <w:pPr>
        <w:spacing w:before="0" w:after="80"/>
      </w:pPr>
    </w:p>
    <w:p>
      <w:pPr>
        <w:spacing w:before="120"/>
      </w:pPr>
      <w:hyperlink r:id="rId18">
        <w:r>
          <w:rPr>
            <w:color w:val="2FB89A"/>
            <w:u w:val="single"/>
            <w:sz w:val="16"/>
          </w:rPr>
          <w:t>View on PubMed</w:t>
        </w:r>
      </w:hyperlink>
      <w:r>
        <w:rPr>
          <w:color w:val="5C7370"/>
          <w:sz w:val="16"/>
        </w:rPr>
        <w:t xml:space="preserve">  ·  DOI: 10.1161/JAHA.125.045052</w:t>
      </w:r>
    </w:p>
    <w:p>
      <w:r>
        <w:br w:type="page"/>
      </w:r>
    </w:p>
    <w:p>
      <w:pPr>
        <w:spacing w:before="0" w:after="40"/>
      </w:pPr>
      <w:r>
        <w:rPr>
          <w:b/>
          <w:i w:val="0"/>
          <w:color w:val="2FB89A"/>
          <w:sz w:val="16"/>
        </w:rPr>
        <w:t>CORONARY ARTERY DISEASE / ACS</w:t>
      </w:r>
    </w:p>
    <w:p>
      <w:pPr>
        <w:spacing w:after="20"/>
      </w:pPr>
      <w:r>
        <w:rPr>
          <w:b/>
          <w:color w:val="2FB89A"/>
          <w:sz w:val="30"/>
        </w:rPr>
        <w:t xml:space="preserve">1  </w:t>
      </w:r>
      <w:r>
        <w:rPr>
          <w:b/>
          <w:color w:val="16302E"/>
          <w:sz w:val="30"/>
        </w:rPr>
        <w:t>Impact of Left Internal Mammary Artery-to-Left Anterior Descending Artery Anastomotic Location on Graft Patency: A Secondary Analysis of the PATENCY Trial Data Set.</w:t>
      </w:r>
    </w:p>
    <w:p>
      <w:pPr>
        <w:spacing w:before="0" w:after="40"/>
      </w:pPr>
      <w:r>
        <w:rPr>
          <w:b w:val="0"/>
          <w:i w:val="0"/>
          <w:color w:val="5C7370"/>
          <w:sz w:val="17"/>
        </w:rPr>
        <w:t>J Am Heart Assoc · 2026 Sep 18 · Wang C., Tian M., Wang Y. et al.</w:t>
      </w:r>
    </w:p>
    <w:p>
      <w:pPr>
        <w:spacing w:before="0" w:after="120"/>
      </w:pPr>
      <w:r>
        <w:rPr>
          <w:b/>
          <w:i w:val="0"/>
          <w:color w:val="0F3D3A"/>
          <w:sz w:val="16"/>
        </w:rPr>
        <w:t>● LARGE OBSERVATIONAL / REGISTRY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Secondary analysis of trial data</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1597</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3 years</w:t>
            </w:r>
          </w:p>
          <w:p>
            <w:pPr>
              <w:spacing w:before="0" w:after="0"/>
            </w:pPr>
            <w:r>
              <w:rPr>
                <w:b w:val="0"/>
                <w:i w:val="0"/>
                <w:color w:val="5C7370"/>
                <w:sz w:val="14"/>
              </w:rPr>
              <w:t>FOLLOW-UP</w:t>
            </w:r>
          </w:p>
        </w:tc>
      </w:tr>
    </w:tbl>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60"/>
            </w:pPr>
            <w:r>
              <w:rPr>
                <w:b/>
                <w:i w:val="0"/>
                <w:color w:val="0A2C2A"/>
                <w:sz w:val="16"/>
              </w:rPr>
              <w:t>PRIMARY ENDPOINT — LIMA occlusion at 3 years</w:t>
            </w:r>
          </w:p>
          <w:p>
            <w:pPr>
              <w:spacing w:after="40"/>
              <w:jc w:val="center"/>
            </w:pPr>
            <w:r>
              <w:drawing>
                <wp:inline xmlns:a="http://schemas.openxmlformats.org/drawingml/2006/main" xmlns:pic="http://schemas.openxmlformats.org/drawingml/2006/picture">
                  <wp:extent cx="2926080" cy="1592132"/>
                  <wp:docPr id="2" name="Picture 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926080" cy="1592132"/>
                          </a:xfrm>
                          <a:prstGeom prst="rect"/>
                        </pic:spPr>
                      </pic:pic>
                    </a:graphicData>
                  </a:graphic>
                </wp:inline>
              </w:drawing>
            </w:r>
          </w:p>
          <w:p>
            <w:pPr>
              <w:spacing w:before="0" w:after="0"/>
            </w:pPr>
            <w:r>
              <w:rPr>
                <w:b w:val="0"/>
                <w:i w:val="0"/>
                <w:color w:val="16302E"/>
                <w:sz w:val="18"/>
              </w:rPr>
              <w:t>adjusted odds ratio, 0.37 [95% CI, 0.20-0.68]; P=0.002</w:t>
            </w:r>
          </w:p>
        </w:tc>
      </w:tr>
    </w:tbl>
    <w:p>
      <w:pPr>
        <w:spacing w:before="0" w:after="80"/>
      </w:pPr>
    </w:p>
    <w:p>
      <w:pPr>
        <w:spacing w:before="180" w:after="20"/>
      </w:pPr>
      <w:r>
        <w:rPr>
          <w:b/>
          <w:i w:val="0"/>
          <w:color w:val="2FB89A"/>
          <w:sz w:val="16"/>
        </w:rPr>
        <w:t>OTHER ENDPOINTS</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3974"/>
            <w:shd w:val="clear" w:color="auto" w:fill="0F3D3A"/>
          </w:tcPr>
          <w:p>
            <w:pPr>
              <w:spacing w:before="0" w:after="0"/>
            </w:pPr>
            <w:r>
              <w:rPr>
                <w:b/>
                <w:i w:val="0"/>
                <w:color w:val="FFFFFF"/>
                <w:sz w:val="15"/>
              </w:rPr>
              <w:t>Endpoint</w:t>
            </w:r>
          </w:p>
        </w:tc>
        <w:tc>
          <w:tcPr>
            <w:tcW w:type="dxa" w:w="1590"/>
            <w:shd w:val="clear" w:color="auto" w:fill="0F3D3A"/>
          </w:tcPr>
          <w:p>
            <w:pPr>
              <w:spacing w:before="0" w:after="0"/>
            </w:pPr>
            <w:r>
              <w:rPr>
                <w:b/>
                <w:i w:val="0"/>
                <w:color w:val="FFFFFF"/>
                <w:sz w:val="15"/>
              </w:rPr>
              <w:t>Distal anastomosis (RAS &gt;46%)</w:t>
            </w:r>
          </w:p>
        </w:tc>
        <w:tc>
          <w:tcPr>
            <w:tcW w:type="dxa" w:w="1590"/>
            <w:shd w:val="clear" w:color="auto" w:fill="0F3D3A"/>
          </w:tcPr>
          <w:p>
            <w:pPr>
              <w:spacing w:before="0" w:after="0"/>
            </w:pPr>
            <w:r>
              <w:rPr>
                <w:b/>
                <w:i w:val="0"/>
                <w:color w:val="FFFFFF"/>
                <w:sz w:val="15"/>
              </w:rPr>
              <w:t>Proximal anastomosis (RAS ≤46%)</w:t>
            </w:r>
          </w:p>
        </w:tc>
        <w:tc>
          <w:tcPr>
            <w:tcW w:type="dxa" w:w="2782"/>
            <w:shd w:val="clear" w:color="auto" w:fill="0F3D3A"/>
          </w:tcPr>
          <w:p>
            <w:pPr>
              <w:spacing w:before="0" w:after="0"/>
            </w:pPr>
            <w:r>
              <w:rPr>
                <w:b/>
                <w:i w:val="0"/>
                <w:color w:val="FFFFFF"/>
                <w:sz w:val="15"/>
              </w:rPr>
              <w:t>Effect</w:t>
            </w:r>
          </w:p>
        </w:tc>
      </w:tr>
      <w:tr>
        <w:trPr>
          <w:cantSplit/>
        </w:trPr>
        <w:tc>
          <w:tcPr>
            <w:tcW w:type="dxa" w:w="3974"/>
          </w:tcPr>
          <w:p>
            <w:pPr>
              <w:spacing w:before="0" w:after="0"/>
            </w:pPr>
            <w:r>
              <w:rPr>
                <w:b w:val="0"/>
                <w:i w:val="0"/>
                <w:color w:val="16302E"/>
                <w:sz w:val="16"/>
              </w:rPr>
              <w:t>Major adverse cardiac events at 3 years</w:t>
            </w:r>
          </w:p>
        </w:tc>
        <w:tc>
          <w:tcPr>
            <w:tcW w:type="dxa" w:w="1590"/>
          </w:tcPr>
          <w:p>
            <w:pPr>
              <w:spacing w:before="0" w:after="0"/>
            </w:pPr>
            <w:r>
              <w:rPr>
                <w:b/>
                <w:i w:val="0"/>
                <w:color w:val="16302E"/>
                <w:sz w:val="16"/>
              </w:rPr>
              <w:t>3.4%</w:t>
            </w:r>
          </w:p>
        </w:tc>
        <w:tc>
          <w:tcPr>
            <w:tcW w:type="dxa" w:w="1590"/>
          </w:tcPr>
          <w:p>
            <w:pPr>
              <w:spacing w:before="0" w:after="0"/>
            </w:pPr>
            <w:r>
              <w:rPr>
                <w:b/>
                <w:i w:val="0"/>
                <w:color w:val="16302E"/>
                <w:sz w:val="16"/>
              </w:rPr>
              <w:t>4.4%</w:t>
            </w:r>
          </w:p>
        </w:tc>
        <w:tc>
          <w:tcPr>
            <w:tcW w:type="dxa" w:w="2782"/>
          </w:tcPr>
          <w:p>
            <w:pPr>
              <w:spacing w:before="0" w:after="0"/>
            </w:pPr>
            <w:r>
              <w:rPr>
                <w:b w:val="0"/>
                <w:i w:val="0"/>
                <w:color w:val="16302E"/>
                <w:sz w:val="16"/>
              </w:rPr>
              <w:t>adjusted hazard ratio, 0.68 [95% CI, 0.40-1.15]; P=0.16</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The background of this study notes that the impact of the left internal mammary artery (LIMA)-to-left anterior descending artery (LAD) anastomotic location on graft patency remains uncertain. To evaluate this question, investigators conducted a secondary analysis of data from the PATENCY (Graft Patency Between no-touch Vein Harvesting Technique and Conventional Approach in Coronary Artery Bypass Graft Surgery) trial. The study population comprised 1597 patients with isolated proximal LAD lesions who underwent coronary artery bypass grafting. The relative anastomotic site (RAS) of the LIMA-LAD anastomosis was quantified using postoperative coronary computed tomography angiography. RAS was defined as the ratio of anastomotic height to heart height. The primary end point of the study was LIMA occlusion at 3 years. The secondary end point was major adverse cardiac events. Multivariable logistic regression was used to evaluate the association between RAS and 3-year LIMA occlusion. Cox proportional hazards regression was used to evaluate associations with time-to-event clinical outcomes. An exploratory RAS threshold was identified at 46%. A distal anastomosis (RAS &gt;46%) was associated with a significantly lower 3-year LIMA occlusion rate compared with a proximal anastomosis (RAS ≤46%) (2.3% versus 6.3%; adjusted odds ratio, 0.37 [95% CI, 0.20-0.68]; P=0.002). At 3 years, major adverse cardiac event rates were similar between groups (3.4% versus 4.4%; adjusted hazard ratio, 0.68 [95% CI, 0.40-1.15]; P=0.16). The authors conclude that a more distal LIMA-LAD anastomotic location may be associated with a lower risk of graft occlusion at 3 years in patients with isolated proximal LAD disease and noted that further prospective validation is warranted.</w:t>
      </w:r>
    </w:p>
    <w:p>
      <w:pPr>
        <w:spacing w:before="180" w:after="20"/>
      </w:pPr>
      <w:r>
        <w:rPr>
          <w:b/>
          <w:i w:val="0"/>
          <w:color w:val="2FB89A"/>
          <w:sz w:val="16"/>
        </w:rPr>
        <w:t>RELATION TO EXISTING EVIDENCE</w:t>
      </w:r>
    </w:p>
    <w:p>
      <w:pPr>
        <w:spacing w:before="0" w:after="40"/>
      </w:pPr>
      <w:r>
        <w:rPr>
          <w:b w:val="0"/>
          <w:i w:val="0"/>
          <w:color w:val="16302E"/>
          <w:sz w:val="19"/>
        </w:rPr>
        <w:t>Surgical revascularization of the left anterior descending artery using the left internal mammary artery is an established standard in coronary bypass surgery. This analysis provides observational data regarding how the anatomical height of the anastomosis relates to 3-year graft patency.</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in patients with isolated proximal LAD disease, a more distal LIMA-LAD anastomotic location may be associated with a lower risk of graft occlusion at 3 years, noting that further prospective validation is warranted.</w:t>
            </w:r>
          </w:p>
        </w:tc>
      </w:tr>
    </w:tbl>
    <w:p>
      <w:pPr>
        <w:spacing w:before="0" w:after="80"/>
      </w:pPr>
    </w:p>
    <w:p>
      <w:pPr>
        <w:spacing w:before="120"/>
      </w:pPr>
      <w:hyperlink r:id="rId20">
        <w:r>
          <w:rPr>
            <w:color w:val="2FB89A"/>
            <w:u w:val="single"/>
            <w:sz w:val="16"/>
          </w:rPr>
          <w:t>View on PubMed</w:t>
        </w:r>
      </w:hyperlink>
      <w:r>
        <w:rPr>
          <w:color w:val="5C7370"/>
          <w:sz w:val="16"/>
        </w:rPr>
        <w:t xml:space="preserve">  ·  DOI: 10.1161/JAHA.126.051333</w:t>
      </w:r>
    </w:p>
    <w:p>
      <w:r>
        <w:br w:type="page"/>
      </w:r>
    </w:p>
    <w:p>
      <w:pPr>
        <w:spacing w:before="0" w:after="40"/>
      </w:pPr>
      <w:r>
        <w:rPr>
          <w:b/>
          <w:i w:val="0"/>
          <w:color w:val="2FB89A"/>
          <w:sz w:val="16"/>
        </w:rPr>
        <w:t>PREVENTION, LIPIDS &amp; SPORTS CARDIOLOGY</w:t>
      </w:r>
    </w:p>
    <w:p>
      <w:pPr>
        <w:spacing w:after="20"/>
      </w:pPr>
      <w:r>
        <w:rPr>
          <w:b/>
          <w:color w:val="2FB89A"/>
          <w:sz w:val="30"/>
        </w:rPr>
        <w:t xml:space="preserve">1  </w:t>
      </w:r>
      <w:r>
        <w:rPr>
          <w:b/>
          <w:color w:val="16302E"/>
          <w:sz w:val="30"/>
        </w:rPr>
        <w:t>Real-World Effectiveness of Evolocumab in Reducing Major Adverse Cardiovascular Events: A Cohort Study.</w:t>
      </w:r>
    </w:p>
    <w:p>
      <w:pPr>
        <w:spacing w:before="0" w:after="40"/>
      </w:pPr>
      <w:r>
        <w:rPr>
          <w:b w:val="0"/>
          <w:i w:val="0"/>
          <w:color w:val="5C7370"/>
          <w:sz w:val="17"/>
        </w:rPr>
        <w:t>J Am Heart Assoc · 2026 Sep 18 · Jin R., Hurwitz K., Dhalwani N.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Cohort study</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111711</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4 years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Treated cohort sample size</w:t>
            </w:r>
          </w:p>
        </w:tc>
        <w:tc>
          <w:tcPr>
            <w:tcW w:type="dxa" w:w="4471"/>
          </w:tcPr>
          <w:p>
            <w:pPr>
              <w:spacing w:before="0" w:after="0"/>
            </w:pPr>
            <w:r>
              <w:rPr>
                <w:b/>
                <w:i w:val="0"/>
                <w:color w:val="0F3D3A"/>
                <w:sz w:val="17"/>
              </w:rPr>
              <w:t>87 102</w:t>
            </w:r>
          </w:p>
        </w:tc>
      </w:tr>
      <w:tr>
        <w:trPr>
          <w:cantSplit/>
        </w:trPr>
        <w:tc>
          <w:tcPr>
            <w:tcW w:type="dxa" w:w="5465"/>
            <w:shd w:val="clear" w:color="auto" w:fill="F5F9F7"/>
          </w:tcPr>
          <w:p>
            <w:pPr>
              <w:spacing w:before="0" w:after="0"/>
            </w:pPr>
            <w:r>
              <w:rPr>
                <w:b w:val="0"/>
                <w:i w:val="0"/>
                <w:color w:val="16302E"/>
                <w:sz w:val="17"/>
              </w:rPr>
              <w:t>Nontreated cohort sample size</w:t>
            </w:r>
          </w:p>
        </w:tc>
        <w:tc>
          <w:tcPr>
            <w:tcW w:type="dxa" w:w="4471"/>
            <w:shd w:val="clear" w:color="auto" w:fill="F5F9F7"/>
          </w:tcPr>
          <w:p>
            <w:pPr>
              <w:spacing w:before="0" w:after="0"/>
            </w:pPr>
            <w:r>
              <w:rPr>
                <w:b/>
                <w:i w:val="0"/>
                <w:color w:val="0F3D3A"/>
                <w:sz w:val="17"/>
              </w:rPr>
              <w:t>24 609</w:t>
            </w:r>
          </w:p>
        </w:tc>
      </w:tr>
      <w:tr>
        <w:trPr>
          <w:cantSplit/>
        </w:trPr>
        <w:tc>
          <w:tcPr>
            <w:tcW w:type="dxa" w:w="5465"/>
          </w:tcPr>
          <w:p>
            <w:pPr>
              <w:spacing w:before="0" w:after="0"/>
            </w:pPr>
            <w:r>
              <w:rPr>
                <w:b w:val="0"/>
                <w:i w:val="0"/>
                <w:color w:val="16302E"/>
                <w:sz w:val="17"/>
              </w:rPr>
              <w:t>Primary outcome (MI, stroke, or coronary revascularization) at 4 years</w:t>
            </w:r>
          </w:p>
        </w:tc>
        <w:tc>
          <w:tcPr>
            <w:tcW w:type="dxa" w:w="4471"/>
          </w:tcPr>
          <w:p>
            <w:pPr>
              <w:spacing w:before="0" w:after="0"/>
            </w:pPr>
            <w:r>
              <w:rPr>
                <w:b/>
                <w:i w:val="0"/>
                <w:color w:val="0F3D3A"/>
                <w:sz w:val="17"/>
              </w:rPr>
              <w:t>RR, 0.80 (95% CI, 0.73-0.86)</w:t>
            </w:r>
          </w:p>
        </w:tc>
      </w:tr>
      <w:tr>
        <w:trPr>
          <w:cantSplit/>
        </w:trPr>
        <w:tc>
          <w:tcPr>
            <w:tcW w:type="dxa" w:w="5465"/>
            <w:shd w:val="clear" w:color="auto" w:fill="F5F9F7"/>
          </w:tcPr>
          <w:p>
            <w:pPr>
              <w:spacing w:before="0" w:after="0"/>
            </w:pPr>
            <w:r>
              <w:rPr>
                <w:b w:val="0"/>
                <w:i w:val="0"/>
                <w:color w:val="16302E"/>
                <w:sz w:val="17"/>
              </w:rPr>
              <w:t>Secondary outcome (MI, stroke, or CVD death) at 4 years</w:t>
            </w:r>
          </w:p>
        </w:tc>
        <w:tc>
          <w:tcPr>
            <w:tcW w:type="dxa" w:w="4471"/>
            <w:shd w:val="clear" w:color="auto" w:fill="F5F9F7"/>
          </w:tcPr>
          <w:p>
            <w:pPr>
              <w:spacing w:before="0" w:after="0"/>
            </w:pPr>
            <w:r>
              <w:rPr>
                <w:b/>
                <w:i w:val="0"/>
                <w:color w:val="0F3D3A"/>
                <w:sz w:val="17"/>
              </w:rPr>
              <w:t>RR, 0.71 (95% CI, 0.64-0.78)</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This cohort study evaluated the real-world effectiveness of evolocumab in reducing major adverse cardiovascular events among US adults with atherosclerotic cardiovascular disease. Patients who initiated evolocumab between 2017 and 2023 were identified using the Komodo Healthcare Map database. At day 75 post-initiation, designated as the index date, individuals were classified into treated and nontreated cohorts. The treated group included patients who remained on evolocumab, whereas the nontreated group comprised patients who discontinued therapy prior to day 75. Patients were followed until outcome occurrence, treatment discontinuation or reinitiation, insurance disenrollment, database termination, or death. The primary outcome was a composite of myocardial infarction, stroke, or coronary revascularization. The secondary outcome was a composite of myocardial infarction, stroke, or cardiovascular disease death. Four-year cumulative incidence, risk ratios, and 95% confidence intervals were estimated using inverse probability of treatment and censoring weighting. Negative control outcomes were evaluated prior to comparative analyses to assess potential residual confounding. Following weighting, baseline characteristics were balanced between the treated group (n=87 102) and the nontreated group (n=24 609). At 4 years of follow-up, treated patients exhibited a 20% lower risk of the primary composite outcome compared with nontreated patients (RR, 0.80; 95% CI, 0.73–0.86). For the secondary composite outcome at 4 years, treated patients had a 29% lower risk compared with nontreated patients (RR, 0.71; 95% CI, 0.64–0.78). Specific adverse events and safety endpoints were not described in the abstract. The authors concluded that evolocumab use was associated with significant reductions in major adverse cardiovascular events in routine clinical practice.</w:t>
      </w:r>
    </w:p>
    <w:p>
      <w:pPr>
        <w:spacing w:before="180" w:after="20"/>
      </w:pPr>
      <w:r>
        <w:rPr>
          <w:b/>
          <w:i w:val="0"/>
          <w:color w:val="2FB89A"/>
          <w:sz w:val="16"/>
        </w:rPr>
        <w:t>RELATION TO EXISTING EVIDENCE</w:t>
      </w:r>
    </w:p>
    <w:p>
      <w:pPr>
        <w:spacing w:before="0" w:after="40"/>
      </w:pPr>
      <w:r>
        <w:rPr>
          <w:b w:val="0"/>
          <w:i w:val="0"/>
          <w:color w:val="16302E"/>
          <w:sz w:val="19"/>
        </w:rPr>
        <w:t>Randomized controlled trials have established that evolocumab reduces major adverse cardiovascular events in secondary prevention populations. This observational analysis adds large-scale real-world data evaluating outcomes associated with continued evolocumab therapy in routine practice.</w:t>
      </w:r>
    </w:p>
    <w:p>
      <w:pPr>
        <w:spacing w:before="180" w:after="20"/>
      </w:pPr>
      <w:r>
        <w:rPr>
          <w:b/>
          <w:i w:val="0"/>
          <w:color w:val="2FB89A"/>
          <w:sz w:val="16"/>
        </w:rPr>
        <w:t>RELATION TO GUIDELINES</w:t>
      </w:r>
    </w:p>
    <w:p>
      <w:pPr>
        <w:spacing w:before="0" w:after="40"/>
      </w:pPr>
      <w:r>
        <w:rPr>
          <w:b w:val="0"/>
          <w:i w:val="0"/>
          <w:color w:val="16302E"/>
          <w:sz w:val="19"/>
        </w:rPr>
        <w:t>Clinical practice guidelines recommend PCSK9 inhibitors for patients with atherosclerotic cardiovascular disease who require additional lipid-lowering therapy. The reported findings are consistent with guideline-directed secondary prevention strategies utilizing PCSK9 inhibitors.</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in a large, diverse, real-world population with atherosclerotic cardiovascular disease, evolocumab use was associated with significant reductions in major adverse cardiovascular events, supporting the effectiveness of guideline-recommended PCSK9 inhibitor therapy in routine clinical practice.</w:t>
            </w:r>
          </w:p>
        </w:tc>
      </w:tr>
    </w:tbl>
    <w:p>
      <w:pPr>
        <w:spacing w:before="0" w:after="80"/>
      </w:pPr>
    </w:p>
    <w:p>
      <w:pPr>
        <w:spacing w:before="120"/>
      </w:pPr>
      <w:hyperlink r:id="rId21">
        <w:r>
          <w:rPr>
            <w:color w:val="2FB89A"/>
            <w:u w:val="single"/>
            <w:sz w:val="16"/>
          </w:rPr>
          <w:t>View on PubMed</w:t>
        </w:r>
      </w:hyperlink>
      <w:r>
        <w:rPr>
          <w:color w:val="5C7370"/>
          <w:sz w:val="16"/>
        </w:rPr>
        <w:t xml:space="preserve">  ·  DOI: 10.1161/JAHA.126.049323</w:t>
      </w:r>
    </w:p>
    <w:p>
      <w:r>
        <w:br w:type="page"/>
      </w:r>
    </w:p>
    <w:p>
      <w:pPr>
        <w:spacing w:before="0" w:after="40"/>
      </w:pPr>
      <w:r>
        <w:rPr>
          <w:b/>
          <w:i w:val="0"/>
          <w:color w:val="2FB89A"/>
          <w:sz w:val="16"/>
        </w:rPr>
        <w:t>PREVENTION, LIPIDS &amp; SPORTS CARDIOLOGY</w:t>
      </w:r>
    </w:p>
    <w:p>
      <w:pPr>
        <w:spacing w:after="20"/>
      </w:pPr>
      <w:r>
        <w:rPr>
          <w:b/>
          <w:color w:val="2FB89A"/>
          <w:sz w:val="30"/>
        </w:rPr>
        <w:t xml:space="preserve">2  </w:t>
      </w:r>
      <w:r>
        <w:rPr>
          <w:b/>
          <w:color w:val="16302E"/>
          <w:sz w:val="30"/>
        </w:rPr>
        <w:t>Stillbirth as a Risk Marker for Postpartum Readmission for Cardiovascular Disease: A Population-Based Retrospective Cohort Study.</w:t>
      </w:r>
    </w:p>
    <w:p>
      <w:pPr>
        <w:spacing w:before="0" w:after="40"/>
      </w:pPr>
      <w:r>
        <w:rPr>
          <w:b w:val="0"/>
          <w:i w:val="0"/>
          <w:color w:val="5C7370"/>
          <w:sz w:val="17"/>
        </w:rPr>
        <w:t>J Am Heart Assoc · 2026 Sep 18 · Pande A., Lin R., Lee R.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Population-based retrospective cohort study</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18253997</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Median 6.4 months (interquartile range, 3.7-9.1)</w:t>
            </w:r>
          </w:p>
          <w:p>
            <w:pPr>
              <w:spacing w:before="0" w:after="0"/>
            </w:pPr>
            <w:r>
              <w:rPr>
                <w:b w:val="0"/>
                <w:i w:val="0"/>
                <w:color w:val="5C7370"/>
                <w:sz w:val="14"/>
              </w:rPr>
              <w:t>FOLLOW-UP</w:t>
            </w:r>
          </w:p>
        </w:tc>
      </w:tr>
    </w:tbl>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60"/>
            </w:pPr>
            <w:r>
              <w:rPr>
                <w:b/>
                <w:i w:val="0"/>
                <w:color w:val="0A2C2A"/>
                <w:sz w:val="16"/>
              </w:rPr>
              <w:t>PRIMARY ENDPOINT — CVD-related readmission or in-hospital death within the calendar year of delivery</w:t>
            </w:r>
          </w:p>
          <w:p>
            <w:pPr>
              <w:spacing w:after="40"/>
              <w:jc w:val="center"/>
            </w:pPr>
            <w:r>
              <w:drawing>
                <wp:inline xmlns:a="http://schemas.openxmlformats.org/drawingml/2006/main" xmlns:pic="http://schemas.openxmlformats.org/drawingml/2006/picture">
                  <wp:extent cx="2926080" cy="1592132"/>
                  <wp:docPr id="3" name="Picture 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926080" cy="1592132"/>
                          </a:xfrm>
                          <a:prstGeom prst="rect"/>
                        </pic:spPr>
                      </pic:pic>
                    </a:graphicData>
                  </a:graphic>
                </wp:inline>
              </w:drawing>
            </w:r>
          </w:p>
          <w:p>
            <w:pPr>
              <w:spacing w:before="0" w:after="0"/>
            </w:pPr>
            <w:r>
              <w:rPr>
                <w:b w:val="0"/>
                <w:i w:val="0"/>
                <w:color w:val="16302E"/>
                <w:sz w:val="18"/>
              </w:rPr>
              <w:t>Incidence proportion difference 238 per 100 000 (95% CI, 192-285); adjusted HR 2.03 (95% CI, 1.78-2.32)</w:t>
            </w:r>
          </w:p>
        </w:tc>
      </w:tr>
    </w:tbl>
    <w:p>
      <w:pPr>
        <w:spacing w:before="0" w:after="80"/>
      </w:pPr>
    </w:p>
    <w:p>
      <w:pPr>
        <w:spacing w:before="180" w:after="20"/>
      </w:pPr>
      <w:r>
        <w:rPr>
          <w:b/>
          <w:i w:val="0"/>
          <w:color w:val="2FB89A"/>
          <w:sz w:val="16"/>
        </w:rPr>
        <w:t>OTHER ENDPOINTS</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3974"/>
            <w:shd w:val="clear" w:color="auto" w:fill="0F3D3A"/>
          </w:tcPr>
          <w:p>
            <w:pPr>
              <w:spacing w:before="0" w:after="0"/>
            </w:pPr>
            <w:r>
              <w:rPr>
                <w:b/>
                <w:i w:val="0"/>
                <w:color w:val="FFFFFF"/>
                <w:sz w:val="15"/>
              </w:rPr>
              <w:t>Endpoint</w:t>
            </w:r>
          </w:p>
        </w:tc>
        <w:tc>
          <w:tcPr>
            <w:tcW w:type="dxa" w:w="1590"/>
            <w:shd w:val="clear" w:color="auto" w:fill="0F3D3A"/>
          </w:tcPr>
          <w:p>
            <w:pPr>
              <w:spacing w:before="0" w:after="0"/>
            </w:pPr>
            <w:r>
              <w:rPr>
                <w:b/>
                <w:i w:val="0"/>
                <w:color w:val="FFFFFF"/>
                <w:sz w:val="15"/>
              </w:rPr>
              <w:t>Stillbirth</w:t>
            </w:r>
          </w:p>
        </w:tc>
        <w:tc>
          <w:tcPr>
            <w:tcW w:type="dxa" w:w="1590"/>
            <w:shd w:val="clear" w:color="auto" w:fill="0F3D3A"/>
          </w:tcPr>
          <w:p>
            <w:pPr>
              <w:spacing w:before="0" w:after="0"/>
            </w:pPr>
            <w:r>
              <w:rPr>
                <w:b/>
                <w:i w:val="0"/>
                <w:color w:val="FFFFFF"/>
                <w:sz w:val="15"/>
              </w:rPr>
              <w:t>Live birth</w:t>
            </w:r>
          </w:p>
        </w:tc>
        <w:tc>
          <w:tcPr>
            <w:tcW w:type="dxa" w:w="2782"/>
            <w:shd w:val="clear" w:color="auto" w:fill="0F3D3A"/>
          </w:tcPr>
          <w:p>
            <w:pPr>
              <w:spacing w:before="0" w:after="0"/>
            </w:pPr>
            <w:r>
              <w:rPr>
                <w:b/>
                <w:i w:val="0"/>
                <w:color w:val="FFFFFF"/>
                <w:sz w:val="15"/>
              </w:rPr>
              <w:t>Effect</w:t>
            </w:r>
          </w:p>
        </w:tc>
      </w:tr>
      <w:tr>
        <w:trPr>
          <w:cantSplit/>
        </w:trPr>
        <w:tc>
          <w:tcPr>
            <w:tcW w:type="dxa" w:w="3974"/>
          </w:tcPr>
          <w:p>
            <w:pPr>
              <w:spacing w:before="0" w:after="0"/>
            </w:pPr>
            <w:r>
              <w:rPr>
                <w:b w:val="0"/>
                <w:i w:val="0"/>
                <w:color w:val="16302E"/>
                <w:sz w:val="16"/>
              </w:rPr>
              <w:t>Heart disease readmission</w:t>
            </w:r>
          </w:p>
        </w:tc>
        <w:tc>
          <w:tcPr>
            <w:tcW w:type="dxa" w:w="1590"/>
          </w:tcPr>
          <w:p>
            <w:pPr>
              <w:spacing w:before="0" w:after="0"/>
            </w:pPr>
            <w:r>
              <w:rPr>
                <w:b/>
                <w:i w:val="0"/>
                <w:color w:val="16302E"/>
                <w:sz w:val="16"/>
              </w:rPr>
              <w:t>—</w:t>
            </w:r>
          </w:p>
        </w:tc>
        <w:tc>
          <w:tcPr>
            <w:tcW w:type="dxa" w:w="1590"/>
          </w:tcPr>
          <w:p>
            <w:pPr>
              <w:spacing w:before="0" w:after="0"/>
            </w:pPr>
            <w:r>
              <w:rPr>
                <w:b/>
                <w:i w:val="0"/>
                <w:color w:val="16302E"/>
                <w:sz w:val="16"/>
              </w:rPr>
              <w:t>—</w:t>
            </w:r>
          </w:p>
        </w:tc>
        <w:tc>
          <w:tcPr>
            <w:tcW w:type="dxa" w:w="2782"/>
          </w:tcPr>
          <w:p>
            <w:pPr>
              <w:spacing w:before="0" w:after="0"/>
            </w:pPr>
            <w:r>
              <w:rPr>
                <w:b w:val="0"/>
                <w:i w:val="0"/>
                <w:color w:val="16302E"/>
                <w:sz w:val="16"/>
              </w:rPr>
              <w:t>adjusted HR, 2.00 (95% CI, 1.72-2.32)</w:t>
            </w:r>
          </w:p>
        </w:tc>
      </w:tr>
      <w:tr>
        <w:trPr>
          <w:cantSplit/>
        </w:trPr>
        <w:tc>
          <w:tcPr>
            <w:tcW w:type="dxa" w:w="3974"/>
            <w:shd w:val="clear" w:color="auto" w:fill="F5F9F7"/>
          </w:tcPr>
          <w:p>
            <w:pPr>
              <w:spacing w:before="0" w:after="0"/>
            </w:pPr>
            <w:r>
              <w:rPr>
                <w:b w:val="0"/>
                <w:i w:val="0"/>
                <w:color w:val="16302E"/>
                <w:sz w:val="16"/>
              </w:rPr>
              <w:t>Stroke readmission</w:t>
            </w:r>
          </w:p>
        </w:tc>
        <w:tc>
          <w:tcPr>
            <w:tcW w:type="dxa" w:w="1590"/>
            <w:shd w:val="clear" w:color="auto" w:fill="F5F9F7"/>
          </w:tcPr>
          <w:p>
            <w:pPr>
              <w:spacing w:before="0" w:after="0"/>
            </w:pPr>
            <w:r>
              <w:rPr>
                <w:b/>
                <w:i w:val="0"/>
                <w:color w:val="16302E"/>
                <w:sz w:val="16"/>
              </w:rPr>
              <w:t>—</w:t>
            </w:r>
          </w:p>
        </w:tc>
        <w:tc>
          <w:tcPr>
            <w:tcW w:type="dxa" w:w="1590"/>
            <w:shd w:val="clear" w:color="auto" w:fill="F5F9F7"/>
          </w:tcPr>
          <w:p>
            <w:pPr>
              <w:spacing w:before="0" w:after="0"/>
            </w:pPr>
            <w:r>
              <w:rPr>
                <w:b/>
                <w:i w:val="0"/>
                <w:color w:val="16302E"/>
                <w:sz w:val="16"/>
              </w:rPr>
              <w:t>—</w:t>
            </w:r>
          </w:p>
        </w:tc>
        <w:tc>
          <w:tcPr>
            <w:tcW w:type="dxa" w:w="2782"/>
            <w:shd w:val="clear" w:color="auto" w:fill="F5F9F7"/>
          </w:tcPr>
          <w:p>
            <w:pPr>
              <w:spacing w:before="0" w:after="0"/>
            </w:pPr>
            <w:r>
              <w:rPr>
                <w:b w:val="0"/>
                <w:i w:val="0"/>
                <w:color w:val="16302E"/>
                <w:sz w:val="16"/>
              </w:rPr>
              <w:t>adjusted HR, 2.29 (95% CI, 1.80-2.92)</w:t>
            </w:r>
          </w:p>
        </w:tc>
      </w:tr>
      <w:tr>
        <w:trPr>
          <w:cantSplit/>
        </w:trPr>
        <w:tc>
          <w:tcPr>
            <w:tcW w:type="dxa" w:w="3974"/>
          </w:tcPr>
          <w:p>
            <w:pPr>
              <w:spacing w:before="0" w:after="0"/>
            </w:pPr>
            <w:r>
              <w:rPr>
                <w:b w:val="0"/>
                <w:i w:val="0"/>
                <w:color w:val="16302E"/>
                <w:sz w:val="16"/>
              </w:rPr>
              <w:t>CVD-related death</w:t>
            </w:r>
          </w:p>
        </w:tc>
        <w:tc>
          <w:tcPr>
            <w:tcW w:type="dxa" w:w="1590"/>
          </w:tcPr>
          <w:p>
            <w:pPr>
              <w:spacing w:before="0" w:after="0"/>
            </w:pPr>
            <w:r>
              <w:rPr>
                <w:b/>
                <w:i w:val="0"/>
                <w:color w:val="16302E"/>
                <w:sz w:val="16"/>
              </w:rPr>
              <w:t>—</w:t>
            </w:r>
          </w:p>
        </w:tc>
        <w:tc>
          <w:tcPr>
            <w:tcW w:type="dxa" w:w="1590"/>
          </w:tcPr>
          <w:p>
            <w:pPr>
              <w:spacing w:before="0" w:after="0"/>
            </w:pPr>
            <w:r>
              <w:rPr>
                <w:b/>
                <w:i w:val="0"/>
                <w:color w:val="16302E"/>
                <w:sz w:val="16"/>
              </w:rPr>
              <w:t>—</w:t>
            </w:r>
          </w:p>
        </w:tc>
        <w:tc>
          <w:tcPr>
            <w:tcW w:type="dxa" w:w="2782"/>
          </w:tcPr>
          <w:p>
            <w:pPr>
              <w:spacing w:before="0" w:after="0"/>
            </w:pPr>
            <w:r>
              <w:rPr>
                <w:b w:val="0"/>
                <w:i w:val="0"/>
                <w:color w:val="16302E"/>
                <w:sz w:val="16"/>
              </w:rPr>
              <w:t>adjusted HR, 2.08 (95% CI, 1.12-3.84)</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Cardiovascular disease (CVD) represents a leading cause of pregnancy-related morbidity and mortality in the early postpartum period. Stillbirth has previously been linked to elevated long-term maternal CVD risk, but its relationship with short-term CVD remains less characterized. To investigate this, investigators conducted a population-based retrospective cohort study of singleton delivery hospitalizations using the Nationwide Readmissions Database from 2010 to 2020. The primary outcome was CVD-related readmission or in-hospital death within the calendar year of delivery, encompassing heart disease and stroke. Associations were analyzed using adjusted Cox proportional hazards models with correction for unmeasured confounding. Analyses were also stratified by the presence of chronic hypertension, ischemic placental disease, and diabetes. The study identified 18,253,997 singleton delivery hospitalizations, of which 117,230 (6.5 per 1000) resulted in stillbirth. The median follow-up period was 6.4 months (interquartile range, 3.7-9.1). CVD-related readmission rates were higher after stillbirth than live birth (404.0 versus 166.0 per 100,000 delivery hospitalizations; incidence proportion difference, 238 per 100,000 [95% CI, 192-285]). Stillbirth was associated with higher overall hazards of CVD hospitalization (adjusted HR, 2.03 [95% CI, 1.78-2.32]). Significant hazard increases were observed for heart disease (adjusted HR, 2.00 [95% CI, 1.72-2.32]), stroke (adjusted HR, 2.29 [95% CI, 1.80-2.92]), and CVD-related death (adjusted HR, 2.08 [95% CI, 1.12-3.84]). CVD hospitalization risk was elevated within 30 days postpartum and reached its peak from 60 to 89 days. Hospitalization risks were higher in the presence of co-occurring chronic hypertension, ischemic placental disease, or diabetes. The authors conclude that stillbirth is associated with increased short-term CVD-related readmission and death.</w:t>
      </w:r>
    </w:p>
    <w:p>
      <w:pPr>
        <w:spacing w:before="180" w:after="20"/>
      </w:pPr>
      <w:r>
        <w:rPr>
          <w:b/>
          <w:i w:val="0"/>
          <w:color w:val="2FB89A"/>
          <w:sz w:val="16"/>
        </w:rPr>
        <w:t>RELATION TO EXISTING EVIDENCE</w:t>
      </w:r>
    </w:p>
    <w:p>
      <w:pPr>
        <w:spacing w:before="0" w:after="40"/>
      </w:pPr>
      <w:r>
        <w:rPr>
          <w:b w:val="0"/>
          <w:i w:val="0"/>
          <w:color w:val="16302E"/>
          <w:sz w:val="19"/>
        </w:rPr>
        <w:t>Adverse pregnancy outcomes have been widely recognized as markers for accelerated long-term cardiovascular risk in women. This study provides population-level data demonstrating that stillbirth is also associated with an increased risk of acute maternal cardiovascular events and readmissions during the immediate postpartum period.</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stillbirth was associated with increased short-term CVD-related readmission and death, extending prior evidence linking stillbirth to long-term CVD risk.</w:t>
            </w:r>
          </w:p>
        </w:tc>
      </w:tr>
    </w:tbl>
    <w:p>
      <w:pPr>
        <w:spacing w:before="0" w:after="80"/>
      </w:pPr>
    </w:p>
    <w:p>
      <w:pPr>
        <w:spacing w:before="120"/>
      </w:pPr>
      <w:hyperlink r:id="rId23">
        <w:r>
          <w:rPr>
            <w:color w:val="2FB89A"/>
            <w:u w:val="single"/>
            <w:sz w:val="16"/>
          </w:rPr>
          <w:t>View on PubMed</w:t>
        </w:r>
      </w:hyperlink>
      <w:r>
        <w:rPr>
          <w:color w:val="5C7370"/>
          <w:sz w:val="16"/>
        </w:rPr>
        <w:t xml:space="preserve">  ·  DOI: 10.1161/JAHA.126.051951</w:t>
      </w:r>
    </w:p>
    <w:p>
      <w:r>
        <w:br w:type="page"/>
      </w:r>
    </w:p>
    <w:p>
      <w:pPr>
        <w:spacing w:before="0" w:after="40"/>
      </w:pPr>
      <w:r>
        <w:rPr>
          <w:b/>
          <w:i w:val="0"/>
          <w:color w:val="0F3D3A"/>
          <w:sz w:val="28"/>
        </w:rPr>
        <w:t>New this week — abstract pending</w:t>
      </w:r>
    </w:p>
    <w:p>
      <w:pPr>
        <w:spacing w:before="0" w:after="160"/>
      </w:pPr>
      <w:r>
        <w:rPr>
          <w:b w:val="0"/>
          <w:i w:val="0"/>
          <w:color w:val="5C7370"/>
          <w:sz w:val="18"/>
        </w:rPr>
        <w:t>Highly relevant, very recent publications whose abstract is not yet available. They will be summarised automatically once it appears.</w:t>
      </w:r>
    </w:p>
    <w:p>
      <w:pPr>
        <w:spacing w:before="0" w:after="20"/>
      </w:pPr>
      <w:r>
        <w:rPr>
          <w:b/>
          <w:i w:val="0"/>
          <w:color w:val="16302E"/>
          <w:sz w:val="19"/>
        </w:rPr>
        <w:t>Weight Loss in Older Adults With Persistent Atrial Fibrillation.</w:t>
      </w:r>
    </w:p>
    <w:p>
      <w:pPr>
        <w:spacing w:after="140"/>
      </w:pPr>
      <w:r>
        <w:rPr>
          <w:color w:val="5C7370"/>
          <w:sz w:val="17"/>
        </w:rPr>
        <w:t xml:space="preserve">JAMA  ·  </w:t>
      </w:r>
      <w:hyperlink r:id="rId24">
        <w:r>
          <w:rPr>
            <w:color w:val="2FB89A"/>
            <w:u w:val="single"/>
            <w:sz w:val="16"/>
          </w:rPr>
          <w:t>PubMed</w:t>
        </w:r>
      </w:hyperlink>
    </w:p>
    <w:p>
      <w:pPr>
        <w:spacing w:before="0" w:after="20"/>
      </w:pPr>
      <w:r>
        <w:rPr>
          <w:b/>
          <w:i w:val="0"/>
          <w:color w:val="16302E"/>
          <w:sz w:val="19"/>
        </w:rPr>
        <w:t>Photon-counting computed tomography: next-generation imaging of coronary stenosis, inflammation, and myocardial status.</w:t>
      </w:r>
    </w:p>
    <w:p>
      <w:pPr>
        <w:spacing w:after="140"/>
      </w:pPr>
      <w:r>
        <w:rPr>
          <w:color w:val="5C7370"/>
          <w:sz w:val="17"/>
        </w:rPr>
        <w:t xml:space="preserve">Eur Heart J  ·  </w:t>
      </w:r>
      <w:hyperlink r:id="rId25">
        <w:r>
          <w:rPr>
            <w:color w:val="2FB89A"/>
            <w:u w:val="single"/>
            <w:sz w:val="16"/>
          </w:rPr>
          <w:t>PubMed</w:t>
        </w:r>
      </w:hyperlink>
    </w:p>
    <w:p>
      <w:pPr>
        <w:spacing w:before="0" w:after="20"/>
      </w:pPr>
      <w:r>
        <w:rPr>
          <w:b/>
          <w:i w:val="0"/>
          <w:color w:val="16302E"/>
          <w:sz w:val="19"/>
        </w:rPr>
        <w:t>Reinforcing Culprit-Only Revascularization for Acute Myocardial Infarction-Related Cardiogenic Shock: Insights From the Netherlands Heart Registration.</w:t>
      </w:r>
    </w:p>
    <w:p>
      <w:pPr>
        <w:spacing w:after="140"/>
      </w:pPr>
      <w:r>
        <w:rPr>
          <w:color w:val="5C7370"/>
          <w:sz w:val="17"/>
        </w:rPr>
        <w:t xml:space="preserve">J Am Heart Assoc  ·  </w:t>
      </w:r>
      <w:hyperlink r:id="rId26">
        <w:r>
          <w:rPr>
            <w:color w:val="2FB89A"/>
            <w:u w:val="single"/>
            <w:sz w:val="16"/>
          </w:rPr>
          <w:t>PubMed</w:t>
        </w:r>
      </w:hyperlink>
    </w:p>
    <w:p>
      <w:pPr>
        <w:spacing w:before="0" w:after="20"/>
      </w:pPr>
      <w:r>
        <w:rPr>
          <w:b/>
          <w:i w:val="0"/>
          <w:color w:val="16302E"/>
          <w:sz w:val="19"/>
        </w:rPr>
        <w:t>Benefit of aficamten in non-obstructive hypertrophic cardiomyopathy.</w:t>
      </w:r>
    </w:p>
    <w:p>
      <w:pPr>
        <w:spacing w:after="140"/>
      </w:pPr>
      <w:r>
        <w:rPr>
          <w:color w:val="5C7370"/>
          <w:sz w:val="17"/>
        </w:rPr>
        <w:t xml:space="preserve">Nat Rev Cardiol  ·  </w:t>
      </w:r>
      <w:hyperlink r:id="rId27">
        <w:r>
          <w:rPr>
            <w:color w:val="2FB89A"/>
            <w:u w:val="single"/>
            <w:sz w:val="16"/>
          </w:rPr>
          <w:t>PubMed</w:t>
        </w:r>
      </w:hyperlink>
    </w:p>
    <w:p>
      <w:pPr>
        <w:spacing w:before="0" w:after="20"/>
      </w:pPr>
      <w:r>
        <w:rPr>
          <w:b/>
          <w:i w:val="0"/>
          <w:color w:val="16302E"/>
          <w:sz w:val="19"/>
        </w:rPr>
        <w:t>Multicentre experience with the variable-loop circular catheter pulsed-field ablation system for atrial fibrillation ablation.</w:t>
      </w:r>
    </w:p>
    <w:p>
      <w:pPr>
        <w:spacing w:after="140"/>
      </w:pPr>
      <w:r>
        <w:rPr>
          <w:color w:val="5C7370"/>
          <w:sz w:val="17"/>
        </w:rPr>
        <w:t xml:space="preserve">Europace  ·  </w:t>
      </w:r>
      <w:hyperlink r:id="rId28">
        <w:r>
          <w:rPr>
            <w:color w:val="2FB89A"/>
            <w:u w:val="single"/>
            <w:sz w:val="16"/>
          </w:rPr>
          <w:t>PubMed</w:t>
        </w:r>
      </w:hyperlink>
    </w:p>
    <w:p>
      <w:pPr>
        <w:spacing w:before="0" w:after="20"/>
      </w:pPr>
      <w:r>
        <w:rPr>
          <w:b/>
          <w:i w:val="0"/>
          <w:color w:val="16302E"/>
          <w:sz w:val="19"/>
        </w:rPr>
        <w:t>Prospective Validation of a Novel Remote Monitoring System for Noninvasive Assessment of Left Ventricular Filling Pressure.</w:t>
      </w:r>
    </w:p>
    <w:p>
      <w:pPr>
        <w:spacing w:after="140"/>
      </w:pPr>
      <w:r>
        <w:rPr>
          <w:color w:val="5C7370"/>
          <w:sz w:val="17"/>
        </w:rPr>
        <w:t xml:space="preserve">JACC Heart Fail  ·  </w:t>
      </w:r>
      <w:hyperlink r:id="rId29">
        <w:r>
          <w:rPr>
            <w:color w:val="2FB89A"/>
            <w:u w:val="single"/>
            <w:sz w:val="16"/>
          </w:rPr>
          <w:t>PubMed</w:t>
        </w:r>
      </w:hyperlink>
    </w:p>
    <w:p>
      <w:pPr>
        <w:spacing w:before="200" w:after="40"/>
      </w:pPr>
      <w:r>
        <w:rPr>
          <w:b/>
          <w:i w:val="0"/>
          <w:color w:val="0F3D3A"/>
          <w:sz w:val="28"/>
        </w:rPr>
        <w:t>Guidelines, consensus &amp; position papers this week</w:t>
      </w:r>
    </w:p>
    <w:p>
      <w:pPr>
        <w:spacing w:before="0" w:after="160"/>
      </w:pPr>
      <w:r>
        <w:rPr>
          <w:b w:val="0"/>
          <w:i w:val="0"/>
          <w:color w:val="5C7370"/>
          <w:sz w:val="18"/>
        </w:rPr>
        <w:t>Named for awareness — deliberately not summarised; please read the original.</w:t>
      </w:r>
    </w:p>
    <w:p>
      <w:pPr>
        <w:spacing w:before="0" w:after="20"/>
      </w:pPr>
      <w:r>
        <w:rPr>
          <w:b/>
          <w:i w:val="0"/>
          <w:color w:val="16302E"/>
          <w:sz w:val="19"/>
        </w:rPr>
        <w:t>Best Practices for Intravascular Ultrasound-Based Coronary Bifurcation Segmentation.</w:t>
      </w:r>
    </w:p>
    <w:p>
      <w:pPr>
        <w:spacing w:before="0" w:after="140"/>
      </w:pPr>
      <w:r>
        <w:rPr>
          <w:b w:val="0"/>
          <w:i w:val="0"/>
          <w:color w:val="5C7370"/>
          <w:sz w:val="17"/>
        </w:rPr>
        <w:t>JACC Cardiovasc Interv</w:t>
      </w:r>
    </w:p>
    <w:p>
      <w:pPr>
        <w:spacing w:before="0" w:after="20"/>
      </w:pPr>
      <w:r>
        <w:rPr>
          <w:b/>
          <w:i w:val="0"/>
          <w:color w:val="16302E"/>
          <w:sz w:val="19"/>
        </w:rPr>
        <w:t>Heart Rhythm Society and Heart Rhythm advocates position statement: Prior authorization in cardiac electrophysiology: Evidence, policy, and reform.</w:t>
      </w:r>
    </w:p>
    <w:p>
      <w:pPr>
        <w:spacing w:before="0" w:after="140"/>
      </w:pPr>
      <w:r>
        <w:rPr>
          <w:b w:val="0"/>
          <w:i w:val="0"/>
          <w:color w:val="5C7370"/>
          <w:sz w:val="17"/>
        </w:rPr>
        <w:t>Heart Rhythm</w:t>
      </w:r>
    </w:p>
    <w:p>
      <w:pPr>
        <w:spacing w:before="200"/>
        <w:pBdr>
          <w:top w:val="single" w:sz="4" w:space="1" w:color="DCE7E3"/>
        </w:pBdr>
      </w:pPr>
    </w:p>
    <w:p>
      <w:pPr>
        <w:spacing w:before="0" w:after="0"/>
      </w:pPr>
      <w:r>
        <w:rPr>
          <w:b w:val="0"/>
          <w:i/>
          <w:color w:val="5C7370"/>
          <w:sz w:val="15"/>
        </w:rPr>
        <w:t>CLARITY is an independent literature curation service and is not affiliated with, endorsed by, or associated with the journals or societies named herein. This document is a factual summary of published research, provided for information and continuing-education purposes only. It does not constitute medical advice, a treatment recommendation or clinical guidance, and must not be used as a basis for patient care decisions. Summaries are AI-generated and may contain errors; always consult the original publication and the applicable clinical guidelines.</w:t>
      </w:r>
    </w:p>
    <w:sectPr w:rsidR="00FC693F" w:rsidRPr="0006063C" w:rsidSect="00034616">
      <w:footerReference w:type="default" r:id="rId9"/>
      <w:pgSz w:w="12240" w:h="15840"/>
      <w:pgMar w:top="1224" w:right="1152" w:bottom="122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C7370"/>
        <w:sz w:val="14"/>
      </w:rPr>
      <w:t>CLARITY · Cardiology · 2026-09-20</w:t>
      <w:tab/>
      <w:tab/>
    </w:r>
    <w:r>
      <w:rPr>
        <w:color w:val="5C7370"/>
        <w:sz w:val="1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630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ubmed.ncbi.nlm.nih.gov/42758309/" TargetMode="External"/><Relationship Id="rId11" Type="http://schemas.openxmlformats.org/officeDocument/2006/relationships/hyperlink" Target="https://pubmed.ncbi.nlm.nih.gov/42758310/" TargetMode="External"/><Relationship Id="rId12" Type="http://schemas.openxmlformats.org/officeDocument/2006/relationships/hyperlink" Target="https://pubmed.ncbi.nlm.nih.gov/42757920/" TargetMode="External"/><Relationship Id="rId13" Type="http://schemas.openxmlformats.org/officeDocument/2006/relationships/hyperlink" Target="https://pubmed.ncbi.nlm.nih.gov/42755708/" TargetMode="External"/><Relationship Id="rId14" Type="http://schemas.openxmlformats.org/officeDocument/2006/relationships/hyperlink" Target="https://pubmed.ncbi.nlm.nih.gov/42760106/" TargetMode="External"/><Relationship Id="rId15" Type="http://schemas.openxmlformats.org/officeDocument/2006/relationships/hyperlink" Target="https://pubmed.ncbi.nlm.nih.gov/42757917/" TargetMode="External"/><Relationship Id="rId16" Type="http://schemas.openxmlformats.org/officeDocument/2006/relationships/hyperlink" Target="https://pubmed.ncbi.nlm.nih.gov/42757916/" TargetMode="External"/><Relationship Id="rId17" Type="http://schemas.openxmlformats.org/officeDocument/2006/relationships/image" Target="media/image1.png"/><Relationship Id="rId18" Type="http://schemas.openxmlformats.org/officeDocument/2006/relationships/hyperlink" Target="https://pubmed.ncbi.nlm.nih.gov/42757893/" TargetMode="External"/><Relationship Id="rId19" Type="http://schemas.openxmlformats.org/officeDocument/2006/relationships/image" Target="media/image2.png"/><Relationship Id="rId20" Type="http://schemas.openxmlformats.org/officeDocument/2006/relationships/hyperlink" Target="https://pubmed.ncbi.nlm.nih.gov/42757942/" TargetMode="External"/><Relationship Id="rId21" Type="http://schemas.openxmlformats.org/officeDocument/2006/relationships/hyperlink" Target="https://pubmed.ncbi.nlm.nih.gov/42757900/" TargetMode="External"/><Relationship Id="rId22" Type="http://schemas.openxmlformats.org/officeDocument/2006/relationships/image" Target="media/image3.png"/><Relationship Id="rId23" Type="http://schemas.openxmlformats.org/officeDocument/2006/relationships/hyperlink" Target="https://pubmed.ncbi.nlm.nih.gov/42757888/" TargetMode="External"/><Relationship Id="rId24" Type="http://schemas.openxmlformats.org/officeDocument/2006/relationships/hyperlink" Target="https://pubmed.ncbi.nlm.nih.gov/42734956/" TargetMode="External"/><Relationship Id="rId25" Type="http://schemas.openxmlformats.org/officeDocument/2006/relationships/hyperlink" Target="https://pubmed.ncbi.nlm.nih.gov/42758534/" TargetMode="External"/><Relationship Id="rId26" Type="http://schemas.openxmlformats.org/officeDocument/2006/relationships/hyperlink" Target="https://pubmed.ncbi.nlm.nih.gov/42757943/" TargetMode="External"/><Relationship Id="rId27" Type="http://schemas.openxmlformats.org/officeDocument/2006/relationships/hyperlink" Target="https://pubmed.ncbi.nlm.nih.gov/42749754/" TargetMode="External"/><Relationship Id="rId28" Type="http://schemas.openxmlformats.org/officeDocument/2006/relationships/hyperlink" Target="https://pubmed.ncbi.nlm.nih.gov/42746810/" TargetMode="External"/><Relationship Id="rId29" Type="http://schemas.openxmlformats.org/officeDocument/2006/relationships/hyperlink" Target="https://pubmed.ncbi.nlm.nih.gov/427307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