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1:</w:t>
      </w:r>
      <w:r>
        <w:t xml:space="preserve"> </w:t>
      </w:r>
      <w:r>
        <w:t xml:space="preserve">Branch</w:t>
      </w:r>
      <w:r>
        <w:t xml:space="preserve"> </w:t>
      </w:r>
      <w:r>
        <w:t xml:space="preserve">Predictor</w:t>
      </w:r>
      <w:r>
        <w:t xml:space="preserve"> </w:t>
      </w:r>
      <w:r>
        <w:t xml:space="preserve">Implementation</w:t>
      </w:r>
    </w:p>
    <w:p>
      <w:pPr>
        <w:pStyle w:val="Author"/>
      </w:pPr>
      <w:r>
        <w:t xml:space="preserve">Daniel</w:t>
      </w:r>
      <w:r>
        <w:t xml:space="preserve"> </w:t>
      </w:r>
      <w:r>
        <w:t xml:space="preserve">Prol</w:t>
      </w:r>
      <w:r>
        <w:t xml:space="preserve"> </w:t>
      </w:r>
      <w:r>
        <w:t xml:space="preserve">-</w:t>
      </w:r>
      <w:r>
        <w:t xml:space="preserve"> </w:t>
      </w:r>
      <w:r>
        <w:t xml:space="preserve">UH</w:t>
      </w:r>
      <w:r>
        <w:t xml:space="preserve"> </w:t>
      </w:r>
      <w:r>
        <w:t xml:space="preserve">ID:</w:t>
      </w:r>
      <w:r>
        <w:t xml:space="preserve"> </w:t>
      </w:r>
      <w:r>
        <w:t xml:space="preserve">2446940</w:t>
      </w:r>
    </w:p>
    <w:p>
      <w:pPr>
        <w:pStyle w:val="Heading1"/>
      </w:pPr>
      <w:bookmarkStart w:id="20" w:name="summary"/>
      <w:r>
        <w:t xml:space="preserve">1. Summary</w:t>
      </w:r>
      <w:bookmarkEnd w:id="20"/>
    </w:p>
    <w:p>
      <w:pPr>
        <w:pStyle w:val="FirstParagraph"/>
      </w:pPr>
      <w:r>
        <w:t xml:space="preserve">I implemented the</w:t>
      </w:r>
      <w:r>
        <w:t xml:space="preserve"> </w:t>
      </w:r>
      <w:r>
        <w:rPr>
          <w:rStyle w:val="VerbatimChar"/>
        </w:rPr>
        <w:t xml:space="preserve">pm_predictor</w:t>
      </w:r>
      <w:r>
        <w:t xml:space="preserve"> </w:t>
      </w:r>
      <w:r>
        <w:t xml:space="preserve">class in</w:t>
      </w:r>
      <w:r>
        <w:t xml:space="preserve"> </w:t>
      </w:r>
      <w:r>
        <w:rPr>
          <w:rStyle w:val="VerbatimChar"/>
        </w:rPr>
        <w:t xml:space="preserve">src/my_predictor.h</w:t>
      </w:r>
      <w:r>
        <w:t xml:space="preserve">: a hybrid</w:t>
      </w:r>
      <w:r>
        <w:t xml:space="preserve"> </w:t>
      </w:r>
      <w:r>
        <w:t xml:space="preserve">branch direction predictor based on the Pentium M, with a bimodal predictor and</w:t>
      </w:r>
      <w:r>
        <w:t xml:space="preserve"> </w:t>
      </w:r>
      <w:r>
        <w:t xml:space="preserve">a tagged global predictor. As the assignment allows, the loop predictor, the</w:t>
      </w:r>
      <w:r>
        <w:t xml:space="preserve"> </w:t>
      </w:r>
      <w:r>
        <w:t xml:space="preserve">branch target prediction and the PIR are not implemented (the global history</w:t>
      </w:r>
      <w:r>
        <w:t xml:space="preserve"> </w:t>
      </w:r>
      <w:r>
        <w:t xml:space="preserve">register is used instead of the PIR).</w:t>
      </w:r>
    </w:p>
    <w:p>
      <w:pPr>
        <w:pStyle w:val="BodyText"/>
      </w:pPr>
      <w:r>
        <w:t xml:space="preserve">Over the 20 traces of the infrastructure the predictor has an average of</w:t>
      </w:r>
      <w:r>
        <w:t xml:space="preserve"> </w:t>
      </w:r>
      <w:r>
        <w:rPr>
          <w:b/>
        </w:rPr>
        <w:t xml:space="preserve">5.848 MPKI</w:t>
      </w:r>
      <w:r>
        <w:t xml:space="preserve">. The sample gshare predictor of the infrastructure has 6.306</w:t>
      </w:r>
      <w:r>
        <w:t xml:space="preserve"> </w:t>
      </w:r>
      <w:r>
        <w:t xml:space="preserve">MPKI with about twice the storage.</w:t>
      </w:r>
    </w:p>
    <w:p>
      <w:pPr>
        <w:pStyle w:val="BodyText"/>
      </w:pPr>
      <w:r>
        <w:t xml:space="preserve">The class also reproduces the worked example of the handout (Appendix B): the</w:t>
      </w:r>
      <w:r>
        <w:t xml:space="preserve"> </w:t>
      </w:r>
      <w:r>
        <w:t xml:space="preserve">22 final predictions and the global hit / no hit column are the same.</w:t>
      </w:r>
    </w:p>
    <w:p>
      <w:pPr>
        <w:pStyle w:val="Heading1"/>
      </w:pPr>
      <w:bookmarkStart w:id="21" w:name="design"/>
      <w:r>
        <w:t xml:space="preserve">2. Design</w:t>
      </w:r>
      <w:bookmarkEnd w:id="21"/>
    </w:p>
    <w:p>
      <w:pPr>
        <w:pStyle w:val="Heading2"/>
      </w:pPr>
      <w:bookmarkStart w:id="22" w:name="bimodal-predictor"/>
      <w:r>
        <w:t xml:space="preserve">2.1 Bimodal predictor</w:t>
      </w:r>
      <w:bookmarkEnd w:id="22"/>
    </w:p>
    <w:p>
      <w:pPr>
        <w:pStyle w:val="FirstParagraph"/>
      </w:pPr>
      <w:r>
        <w:t xml:space="preserve">A table of 4096 2-bit saturating counters indexed with the low 12 bits of the</w:t>
      </w:r>
      <w:r>
        <w:t xml:space="preserve"> </w:t>
      </w:r>
      <w:r>
        <w:t xml:space="preserve">branch address. The counters start at 1 (weakly not taken). The counter of the</w:t>
      </w:r>
      <w:r>
        <w:t xml:space="preserve"> </w:t>
      </w:r>
      <w:r>
        <w:t xml:space="preserve">branch is updated with every conditional branch outcome, also when the global</w:t>
      </w:r>
      <w:r>
        <w:t xml:space="preserve"> </w:t>
      </w:r>
      <w:r>
        <w:t xml:space="preserve">predictor gave the final prediction.</w:t>
      </w:r>
    </w:p>
    <w:p>
      <w:pPr>
        <w:pStyle w:val="Heading2"/>
      </w:pPr>
      <w:bookmarkStart w:id="23" w:name="global-predictor"/>
      <w:r>
        <w:t xml:space="preserve">2.2 Global predictor</w:t>
      </w:r>
      <w:bookmarkEnd w:id="23"/>
    </w:p>
    <w:p>
      <w:pPr>
        <w:pStyle w:val="FirstParagraph"/>
      </w:pPr>
      <w:r>
        <w:t xml:space="preserve">A set-associative cache with 2048 entries: 512 sets and 4 ways. Each entry has</w:t>
      </w:r>
      <w:r>
        <w:t xml:space="preserve"> </w:t>
      </w:r>
      <w:r>
        <w:t xml:space="preserve">a valid bit, a 6-bit tag, a 2-bit counter and an LRU age.</w:t>
      </w:r>
    </w:p>
    <w:p>
      <w:pPr>
        <w:numPr>
          <w:ilvl w:val="0"/>
          <w:numId w:val="1001"/>
        </w:numPr>
        <w:pStyle w:val="Compact"/>
      </w:pPr>
      <w:r>
        <w:t xml:space="preserve">Hash: the low 15 bits of the branch address XOR the 15-bit global history</w:t>
      </w:r>
      <w:r>
        <w:t xml:space="preserve"> </w:t>
      </w:r>
      <w:r>
        <w:t xml:space="preserve">register.</w:t>
      </w:r>
    </w:p>
    <w:p>
      <w:pPr>
        <w:numPr>
          <w:ilvl w:val="0"/>
          <w:numId w:val="1001"/>
        </w:numPr>
        <w:pStyle w:val="Compact"/>
      </w:pPr>
      <w:r>
        <w:t xml:space="preserve">Set: the upper 9 bits of the hash. Tag: the lower 6 bits. This is the same</w:t>
      </w:r>
      <w:r>
        <w:t xml:space="preserve"> </w:t>
      </w:r>
      <w:r>
        <w:t xml:space="preserve">split as the handout example (row = upper bits, tag = lower bits).</w:t>
      </w:r>
    </w:p>
    <w:p>
      <w:pPr>
        <w:numPr>
          <w:ilvl w:val="0"/>
          <w:numId w:val="1001"/>
        </w:numPr>
        <w:pStyle w:val="Compact"/>
      </w:pPr>
      <w:r>
        <w:t xml:space="preserve">Hit: a valid entry of the set has the same tag.</w:t>
      </w:r>
    </w:p>
    <w:p>
      <w:pPr>
        <w:pStyle w:val="Heading2"/>
      </w:pPr>
      <w:bookmarkStart w:id="24" w:name="final-prediction"/>
      <w:r>
        <w:t xml:space="preserve">2.3 Final prediction</w:t>
      </w:r>
      <w:bookmarkEnd w:id="24"/>
    </w:p>
    <w:p>
      <w:pPr>
        <w:pStyle w:val="FirstParagraph"/>
      </w:pPr>
      <w:r>
        <w:t xml:space="preserve">If the global predictor has a hit, the prediction is the upper bit of the</w:t>
      </w:r>
      <w:r>
        <w:t xml:space="preserve"> </w:t>
      </w:r>
      <w:r>
        <w:t xml:space="preserve">counter of that entry. If not, it is the upper bit of the bimodal counter.</w:t>
      </w:r>
      <w:r>
        <w:t xml:space="preserve"> </w:t>
      </w:r>
      <w:r>
        <w:t xml:space="preserve">Unconditional branches are predicted taken and do not change any state.</w:t>
      </w:r>
    </w:p>
    <w:p>
      <w:pPr>
        <w:pStyle w:val="Heading2"/>
      </w:pPr>
      <w:bookmarkStart w:id="25" w:name="update"/>
      <w:r>
        <w:t xml:space="preserve">2.4 Update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Global hit: the counter of the entry is updated with the outcome and the</w:t>
      </w:r>
      <w:r>
        <w:t xml:space="preserve"> </w:t>
      </w:r>
      <w:r>
        <w:t xml:space="preserve">entry becomes the most recently used of its set.</w:t>
      </w:r>
    </w:p>
    <w:p>
      <w:pPr>
        <w:numPr>
          <w:ilvl w:val="0"/>
          <w:numId w:val="1002"/>
        </w:numPr>
        <w:pStyle w:val="Compact"/>
      </w:pPr>
      <w:r>
        <w:t xml:space="preserve">Global miss and the branch was mispredicted: a new entry is allocated. The</w:t>
      </w:r>
      <w:r>
        <w:t xml:space="preserve"> </w:t>
      </w:r>
      <w:r>
        <w:t xml:space="preserve">victim is the first invalid way, or the least recently used way if all are</w:t>
      </w:r>
      <w:r>
        <w:t xml:space="preserve"> </w:t>
      </w:r>
      <w:r>
        <w:t xml:space="preserve">valid. The counter of the new entry starts in the weak state of the outcome</w:t>
      </w:r>
      <w:r>
        <w:t xml:space="preserve"> </w:t>
      </w:r>
      <w:r>
        <w:t xml:space="preserve">(2 if taken, 1 if not taken).</w:t>
      </w:r>
    </w:p>
    <w:p>
      <w:pPr>
        <w:numPr>
          <w:ilvl w:val="0"/>
          <w:numId w:val="1002"/>
        </w:numPr>
        <w:pStyle w:val="Compact"/>
      </w:pPr>
      <w:r>
        <w:t xml:space="preserve">Global miss and the branch was predicted correctly: nothing is allocated.</w:t>
      </w:r>
      <w:r>
        <w:t xml:space="preserve"> </w:t>
      </w:r>
      <w:r>
        <w:t xml:space="preserve">The bimodal predictor is enough for this branch with this history, so the</w:t>
      </w:r>
      <w:r>
        <w:t xml:space="preserve"> </w:t>
      </w:r>
      <w:r>
        <w:t xml:space="preserve">entry is left for a branch that needs it.</w:t>
      </w:r>
    </w:p>
    <w:p>
      <w:pPr>
        <w:numPr>
          <w:ilvl w:val="0"/>
          <w:numId w:val="1002"/>
        </w:numPr>
        <w:pStyle w:val="Compact"/>
      </w:pPr>
      <w:r>
        <w:t xml:space="preserve">The bimodal counter is updated and the outcome is shifted into the history</w:t>
      </w:r>
      <w:r>
        <w:t xml:space="preserve"> </w:t>
      </w:r>
      <w:r>
        <w:t xml:space="preserve">register.</w:t>
      </w:r>
    </w:p>
    <w:p>
      <w:pPr>
        <w:pStyle w:val="FirstParagraph"/>
      </w:pPr>
      <w:r>
        <w:t xml:space="preserve">The information of the lookup (bimodal index, set, tag, hit way) is saved in</w:t>
      </w:r>
      <w:r>
        <w:t xml:space="preserve"> </w:t>
      </w:r>
      <w:r>
        <w:rPr>
          <w:rStyle w:val="VerbatimChar"/>
        </w:rPr>
        <w:t xml:space="preserve">pm_update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and used by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</w:t>
      </w:r>
    </w:p>
    <w:p>
      <w:pPr>
        <w:pStyle w:val="Heading2"/>
      </w:pPr>
      <w:bookmarkStart w:id="26" w:name="storage"/>
      <w:r>
        <w:t xml:space="preserve">2.5 Storage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Bimodal: 4096 x 2</w:t>
            </w:r>
          </w:p>
        </w:tc>
        <w:tc>
          <w:p>
            <w:pPr>
              <w:pStyle w:val="Compact"/>
              <w:jc w:val="left"/>
            </w:pPr>
            <w:r>
              <w:t xml:space="preserve">8,192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Global: 2048 x (2 counter + 6 tag + 1 valid + 2 LRU)</w:t>
            </w:r>
          </w:p>
        </w:tc>
        <w:tc>
          <w:p>
            <w:pPr>
              <w:pStyle w:val="Compact"/>
              <w:jc w:val="left"/>
            </w:pPr>
            <w:r>
              <w:t xml:space="preserve">22,528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History register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30,735</w:t>
            </w:r>
          </w:p>
        </w:tc>
      </w:tr>
    </w:tbl>
    <w:p>
      <w:pPr>
        <w:pStyle w:val="BodyText"/>
      </w:pPr>
      <w:r>
        <w:t xml:space="preserve">The sample gshare has 32,768 2-bit counters = 65,536 bits.</w:t>
      </w:r>
    </w:p>
    <w:p>
      <w:pPr>
        <w:pStyle w:val="Heading1"/>
      </w:pPr>
      <w:bookmarkStart w:id="27" w:name="verification-with-the-handout-example"/>
      <w:r>
        <w:t xml:space="preserve">3. Verification with the handout example</w:t>
      </w:r>
      <w:bookmarkEnd w:id="27"/>
    </w:p>
    <w:p>
      <w:pPr>
        <w:pStyle w:val="FirstParagraph"/>
      </w:pPr>
      <w:r>
        <w:rPr>
          <w:rStyle w:val="VerbatimChar"/>
        </w:rPr>
        <w:t xml:space="preserve">src/test_example.cc</w:t>
      </w:r>
      <w:r>
        <w:t xml:space="preserve"> </w:t>
      </w:r>
      <w:r>
        <w:t xml:space="preserve">builds a small</w:t>
      </w:r>
      <w:r>
        <w:t xml:space="preserve"> </w:t>
      </w:r>
      <w:r>
        <w:rPr>
          <w:rStyle w:val="VerbatimChar"/>
        </w:rPr>
        <w:t xml:space="preserve">pm_predictor</w:t>
      </w:r>
      <w:r>
        <w:t xml:space="preserve"> </w:t>
      </w:r>
      <w:r>
        <w:t xml:space="preserve">with the parameters of the</w:t>
      </w:r>
      <w:r>
        <w:t xml:space="preserve"> </w:t>
      </w:r>
      <w:r>
        <w:t xml:space="preserve">example of Appendix B (16 bimodal counters, 2-way global predictor with 4 sets</w:t>
      </w:r>
      <w:r>
        <w:t xml:space="preserve"> </w:t>
      </w:r>
      <w:r>
        <w:t xml:space="preserve">and 2-bit tags, 4-bit history, address shifted right by 2) and the same initial</w:t>
      </w:r>
      <w:r>
        <w:t xml:space="preserve"> </w:t>
      </w:r>
      <w:r>
        <w:t xml:space="preserve">counter values, and runs the 22 branches of the table.</w:t>
      </w:r>
    </w:p>
    <w:p>
      <w:pPr>
        <w:pStyle w:val="BodyText"/>
      </w:pPr>
      <w:r>
        <w:t xml:space="preserve">The example allocates a global entry on every global miss and the new entry</w:t>
      </w:r>
      <w:r>
        <w:t xml:space="preserve"> </w:t>
      </w:r>
      <w:r>
        <w:t xml:space="preserve">keeps the counter of the entry it replaces.</w:t>
      </w:r>
      <w:r>
        <w:t xml:space="preserve"> </w:t>
      </w:r>
      <w:r>
        <w:rPr>
          <w:rStyle w:val="VerbatimChar"/>
        </w:rPr>
        <w:t xml:space="preserve">pm_predictor</w:t>
      </w:r>
      <w:r>
        <w:t xml:space="preserve"> </w:t>
      </w:r>
      <w:r>
        <w:t xml:space="preserve">has this policy as</w:t>
      </w:r>
      <w:r>
        <w:t xml:space="preserve"> </w:t>
      </w:r>
      <w:r>
        <w:t xml:space="preserve">an option (</w:t>
      </w:r>
      <w:r>
        <w:rPr>
          <w:rStyle w:val="VerbatimChar"/>
        </w:rPr>
        <w:t xml:space="preserve">alloc_on_any_miss = true</w:t>
      </w:r>
      <w:r>
        <w:t xml:space="preserve">). With it, the set, the tag, the hit and</w:t>
      </w:r>
      <w:r>
        <w:t xml:space="preserve"> </w:t>
      </w:r>
      <w:r>
        <w:t xml:space="preserve">the final prediction of the 22 rows are the same as in the handout:</w:t>
      </w:r>
    </w:p>
    <w:p>
      <w:pPr>
        <w:pStyle w:val="SourceCode"/>
      </w:pPr>
      <w:r>
        <w:rPr>
          <w:rStyle w:val="VerbatimChar"/>
        </w:rPr>
        <w:t xml:space="preserve">$ cd src; make test_example; ./test_example</w:t>
      </w:r>
      <w:r>
        <w:br/>
      </w:r>
      <w:r>
        <w:rPr>
          <w:rStyle w:val="VerbatimChar"/>
        </w:rPr>
        <w:t xml:space="preserve"> 1  set 0 tag 1  no hit  predict NT  actual T</w:t>
      </w:r>
      <w:r>
        <w:br/>
      </w:r>
      <w:r>
        <w:rPr>
          <w:rStyle w:val="VerbatimChar"/>
        </w:rPr>
        <w:t xml:space="preserve"> 2  set 1 tag 1  no hit  predict NT  actual T</w:t>
      </w:r>
      <w:r>
        <w:br/>
      </w:r>
      <w:r>
        <w:rPr>
          <w:rStyle w:val="VerbatimChar"/>
        </w:rPr>
        <w:t xml:space="preserve"> 3  set 0 tag 2  no hit  predict T   actual NT</w:t>
      </w:r>
      <w:r>
        <w:br/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20  set 2 tag 0  hit     predict T   actual T</w:t>
      </w:r>
      <w:r>
        <w:br/>
      </w:r>
      <w:r>
        <w:rPr>
          <w:rStyle w:val="VerbatimChar"/>
        </w:rPr>
        <w:t xml:space="preserve">21  set 2 tag 0  hit     predict T   actual T</w:t>
      </w:r>
      <w:r>
        <w:br/>
      </w:r>
      <w:r>
        <w:rPr>
          <w:rStyle w:val="VerbatimChar"/>
        </w:rPr>
        <w:t xml:space="preserve">22  set 1 tag 3  no hit  predict T   actual T</w:t>
      </w:r>
      <w:r>
        <w:br/>
      </w:r>
      <w:r>
        <w:rPr>
          <w:rStyle w:val="VerbatimChar"/>
        </w:rPr>
        <w:t xml:space="preserve">0 mismatches</w:t>
      </w:r>
    </w:p>
    <w:p>
      <w:pPr>
        <w:pStyle w:val="Heading1"/>
      </w:pPr>
      <w:bookmarkStart w:id="28" w:name="results"/>
      <w:r>
        <w:t xml:space="preserve">4. Results</w:t>
      </w:r>
      <w:bookmarkEnd w:id="28"/>
    </w:p>
    <w:p>
      <w:pPr>
        <w:pStyle w:val="FirstParagraph"/>
      </w:pPr>
      <w:r>
        <w:t xml:space="preserve">MPKI = direction mispredictions of conditional branches per 1000 instructions</w:t>
      </w:r>
      <w:r>
        <w:t xml:space="preserve"> </w:t>
      </w:r>
      <w:r>
        <w:t xml:space="preserve">(each trace has 100 million instructions). The columns are: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gshare</w:t>
      </w:r>
      <w:r>
        <w:t xml:space="preserve">: the sample predictor of the infrastructure (32,768 counters, 15</w:t>
      </w:r>
      <w:r>
        <w:t xml:space="preserve"> </w:t>
      </w:r>
      <w:r>
        <w:t xml:space="preserve">bits of history).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bimodal</w:t>
      </w:r>
      <w:r>
        <w:t xml:space="preserve">: only the 4096-entry bimodal table.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PM any miss</w:t>
      </w:r>
      <w:r>
        <w:t xml:space="preserve">:</w:t>
      </w:r>
      <w:r>
        <w:t xml:space="preserve"> </w:t>
      </w:r>
      <w:r>
        <w:rPr>
          <w:rStyle w:val="VerbatimChar"/>
        </w:rPr>
        <w:t xml:space="preserve">pm_predictor</w:t>
      </w:r>
      <w:r>
        <w:t xml:space="preserve">, 4-way, with the allocation of the handout</w:t>
      </w:r>
      <w:r>
        <w:t xml:space="preserve"> </w:t>
      </w:r>
      <w:r>
        <w:t xml:space="preserve">example (allocate on every global miss, keep the old counter).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PM 2-way</w:t>
      </w:r>
      <w:r>
        <w:t xml:space="preserve">:</w:t>
      </w:r>
      <w:r>
        <w:t xml:space="preserve"> </w:t>
      </w:r>
      <w:r>
        <w:rPr>
          <w:rStyle w:val="VerbatimChar"/>
        </w:rPr>
        <w:t xml:space="preserve">pm_predictor</w:t>
      </w:r>
      <w:r>
        <w:t xml:space="preserve"> </w:t>
      </w:r>
      <w:r>
        <w:t xml:space="preserve">with a 2-way global predictor (1024 sets, 5-bit</w:t>
      </w:r>
      <w:r>
        <w:t xml:space="preserve"> </w:t>
      </w:r>
      <w:r>
        <w:t xml:space="preserve">tag), allocation on misprediction.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PM 4-way</w:t>
      </w:r>
      <w:r>
        <w:t xml:space="preserve">: the submitted configuration (the default of</w:t>
      </w:r>
      <w:r>
        <w:t xml:space="preserve"> </w:t>
      </w:r>
      <w:r>
        <w:rPr>
          <w:rStyle w:val="VerbatimChar"/>
        </w:rPr>
        <w:t xml:space="preserve">pm_predictor</w:t>
      </w:r>
      <w:r>
        <w:t xml:space="preserve">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gshare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bimodal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PM any miss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PM 2-way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PM 4-way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164.gzip</w:t>
            </w:r>
          </w:p>
        </w:tc>
        <w:tc>
          <w:p>
            <w:pPr>
              <w:pStyle w:val="Compact"/>
              <w:jc w:val="right"/>
            </w:pPr>
            <w:r>
              <w:t xml:space="preserve">12.473</w:t>
            </w:r>
          </w:p>
        </w:tc>
        <w:tc>
          <w:p>
            <w:pPr>
              <w:pStyle w:val="Compact"/>
              <w:jc w:val="right"/>
            </w:pPr>
            <w:r>
              <w:t xml:space="preserve">15.030</w:t>
            </w:r>
          </w:p>
        </w:tc>
        <w:tc>
          <w:p>
            <w:pPr>
              <w:pStyle w:val="Compact"/>
              <w:jc w:val="right"/>
            </w:pPr>
            <w:r>
              <w:t xml:space="preserve">12.690</w:t>
            </w:r>
          </w:p>
        </w:tc>
        <w:tc>
          <w:p>
            <w:pPr>
              <w:pStyle w:val="Compact"/>
              <w:jc w:val="right"/>
            </w:pPr>
            <w:r>
              <w:t xml:space="preserve">12.458</w:t>
            </w:r>
          </w:p>
        </w:tc>
        <w:tc>
          <w:p>
            <w:pPr>
              <w:pStyle w:val="Compact"/>
              <w:jc w:val="right"/>
            </w:pPr>
            <w:r>
              <w:t xml:space="preserve">12.436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175.vpr</w:t>
            </w:r>
          </w:p>
        </w:tc>
        <w:tc>
          <w:p>
            <w:pPr>
              <w:pStyle w:val="Compact"/>
              <w:jc w:val="right"/>
            </w:pPr>
            <w:r>
              <w:t xml:space="preserve">13.415</w:t>
            </w:r>
          </w:p>
        </w:tc>
        <w:tc>
          <w:p>
            <w:pPr>
              <w:pStyle w:val="Compact"/>
              <w:jc w:val="right"/>
            </w:pPr>
            <w:r>
              <w:t xml:space="preserve">14.671</w:t>
            </w:r>
          </w:p>
        </w:tc>
        <w:tc>
          <w:p>
            <w:pPr>
              <w:pStyle w:val="Compact"/>
              <w:jc w:val="right"/>
            </w:pPr>
            <w:r>
              <w:t xml:space="preserve">15.965</w:t>
            </w:r>
          </w:p>
        </w:tc>
        <w:tc>
          <w:p>
            <w:pPr>
              <w:pStyle w:val="Compact"/>
              <w:jc w:val="right"/>
            </w:pPr>
            <w:r>
              <w:t xml:space="preserve">13.519</w:t>
            </w:r>
          </w:p>
        </w:tc>
        <w:tc>
          <w:p>
            <w:pPr>
              <w:pStyle w:val="Compact"/>
              <w:jc w:val="right"/>
            </w:pPr>
            <w:r>
              <w:t xml:space="preserve">13.298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176.gcc</w:t>
            </w:r>
          </w:p>
        </w:tc>
        <w:tc>
          <w:p>
            <w:pPr>
              <w:pStyle w:val="Compact"/>
              <w:jc w:val="right"/>
            </w:pPr>
            <w:r>
              <w:t xml:space="preserve">11.254</w:t>
            </w:r>
          </w:p>
        </w:tc>
        <w:tc>
          <w:p>
            <w:pPr>
              <w:pStyle w:val="Compact"/>
              <w:jc w:val="right"/>
            </w:pPr>
            <w:r>
              <w:t xml:space="preserve">19.347</w:t>
            </w:r>
          </w:p>
        </w:tc>
        <w:tc>
          <w:p>
            <w:pPr>
              <w:pStyle w:val="Compact"/>
              <w:jc w:val="right"/>
            </w:pPr>
            <w:r>
              <w:t xml:space="preserve">18.006</w:t>
            </w:r>
          </w:p>
        </w:tc>
        <w:tc>
          <w:p>
            <w:pPr>
              <w:pStyle w:val="Compact"/>
              <w:jc w:val="right"/>
            </w:pPr>
            <w:r>
              <w:t xml:space="preserve">9.534</w:t>
            </w:r>
          </w:p>
        </w:tc>
        <w:tc>
          <w:p>
            <w:pPr>
              <w:pStyle w:val="Compact"/>
              <w:jc w:val="right"/>
            </w:pPr>
            <w:r>
              <w:t xml:space="preserve">9.285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181.mcf</w:t>
            </w:r>
          </w:p>
        </w:tc>
        <w:tc>
          <w:p>
            <w:pPr>
              <w:pStyle w:val="Compact"/>
              <w:jc w:val="right"/>
            </w:pPr>
            <w:r>
              <w:t xml:space="preserve">15.837</w:t>
            </w:r>
          </w:p>
        </w:tc>
        <w:tc>
          <w:p>
            <w:pPr>
              <w:pStyle w:val="Compact"/>
              <w:jc w:val="right"/>
            </w:pPr>
            <w:r>
              <w:t xml:space="preserve">33.245</w:t>
            </w:r>
          </w:p>
        </w:tc>
        <w:tc>
          <w:p>
            <w:pPr>
              <w:pStyle w:val="Compact"/>
              <w:jc w:val="right"/>
            </w:pPr>
            <w:r>
              <w:t xml:space="preserve">18.264</w:t>
            </w:r>
          </w:p>
        </w:tc>
        <w:tc>
          <w:p>
            <w:pPr>
              <w:pStyle w:val="Compact"/>
              <w:jc w:val="right"/>
            </w:pPr>
            <w:r>
              <w:t xml:space="preserve">15.927</w:t>
            </w:r>
          </w:p>
        </w:tc>
        <w:tc>
          <w:p>
            <w:pPr>
              <w:pStyle w:val="Compact"/>
              <w:jc w:val="right"/>
            </w:pPr>
            <w:r>
              <w:t xml:space="preserve">15.621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186.crafty</w:t>
            </w:r>
          </w:p>
        </w:tc>
        <w:tc>
          <w:p>
            <w:pPr>
              <w:pStyle w:val="Compact"/>
              <w:jc w:val="right"/>
            </w:pPr>
            <w:r>
              <w:t xml:space="preserve">5.837</w:t>
            </w:r>
          </w:p>
        </w:tc>
        <w:tc>
          <w:p>
            <w:pPr>
              <w:pStyle w:val="Compact"/>
              <w:jc w:val="right"/>
            </w:pPr>
            <w:r>
              <w:t xml:space="preserve">13.075</w:t>
            </w:r>
          </w:p>
        </w:tc>
        <w:tc>
          <w:p>
            <w:pPr>
              <w:pStyle w:val="Compact"/>
              <w:jc w:val="right"/>
            </w:pPr>
            <w:r>
              <w:t xml:space="preserve">9.101</w:t>
            </w:r>
          </w:p>
        </w:tc>
        <w:tc>
          <w:p>
            <w:pPr>
              <w:pStyle w:val="Compact"/>
              <w:jc w:val="right"/>
            </w:pPr>
            <w:r>
              <w:t xml:space="preserve">5.351</w:t>
            </w:r>
          </w:p>
        </w:tc>
        <w:tc>
          <w:p>
            <w:pPr>
              <w:pStyle w:val="Compact"/>
              <w:jc w:val="right"/>
            </w:pPr>
            <w:r>
              <w:t xml:space="preserve">5.211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197.parser</w:t>
            </w:r>
          </w:p>
        </w:tc>
        <w:tc>
          <w:p>
            <w:pPr>
              <w:pStyle w:val="Compact"/>
              <w:jc w:val="right"/>
            </w:pPr>
            <w:r>
              <w:t xml:space="preserve">10.008</w:t>
            </w:r>
          </w:p>
        </w:tc>
        <w:tc>
          <w:p>
            <w:pPr>
              <w:pStyle w:val="Compact"/>
              <w:jc w:val="right"/>
            </w:pPr>
            <w:r>
              <w:t xml:space="preserve">15.417</w:t>
            </w:r>
          </w:p>
        </w:tc>
        <w:tc>
          <w:p>
            <w:pPr>
              <w:pStyle w:val="Compact"/>
              <w:jc w:val="right"/>
            </w:pPr>
            <w:r>
              <w:t xml:space="preserve">10.929</w:t>
            </w:r>
          </w:p>
        </w:tc>
        <w:tc>
          <w:p>
            <w:pPr>
              <w:pStyle w:val="Compact"/>
              <w:jc w:val="right"/>
            </w:pPr>
            <w:r>
              <w:t xml:space="preserve">8.656</w:t>
            </w:r>
          </w:p>
        </w:tc>
        <w:tc>
          <w:p>
            <w:pPr>
              <w:pStyle w:val="Compact"/>
              <w:jc w:val="right"/>
            </w:pPr>
            <w:r>
              <w:t xml:space="preserve">8.538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201.compress</w:t>
            </w:r>
          </w:p>
        </w:tc>
        <w:tc>
          <w:p>
            <w:pPr>
              <w:pStyle w:val="Compact"/>
              <w:jc w:val="right"/>
            </w:pPr>
            <w:r>
              <w:t xml:space="preserve">7.831</w:t>
            </w:r>
          </w:p>
        </w:tc>
        <w:tc>
          <w:p>
            <w:pPr>
              <w:pStyle w:val="Compact"/>
              <w:jc w:val="right"/>
            </w:pPr>
            <w:r>
              <w:t xml:space="preserve">9.356</w:t>
            </w:r>
          </w:p>
        </w:tc>
        <w:tc>
          <w:p>
            <w:pPr>
              <w:pStyle w:val="Compact"/>
              <w:jc w:val="right"/>
            </w:pPr>
            <w:r>
              <w:t xml:space="preserve">8.014</w:t>
            </w:r>
          </w:p>
        </w:tc>
        <w:tc>
          <w:p>
            <w:pPr>
              <w:pStyle w:val="Compact"/>
              <w:jc w:val="right"/>
            </w:pPr>
            <w:r>
              <w:t xml:space="preserve">7.748</w:t>
            </w:r>
          </w:p>
        </w:tc>
        <w:tc>
          <w:p>
            <w:pPr>
              <w:pStyle w:val="Compact"/>
              <w:jc w:val="right"/>
            </w:pPr>
            <w:r>
              <w:t xml:space="preserve">7.702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202.jess</w:t>
            </w:r>
          </w:p>
        </w:tc>
        <w:tc>
          <w:p>
            <w:pPr>
              <w:pStyle w:val="Compact"/>
              <w:jc w:val="right"/>
            </w:pPr>
            <w:r>
              <w:t xml:space="preserve">1.562</w:t>
            </w:r>
          </w:p>
        </w:tc>
        <w:tc>
          <w:p>
            <w:pPr>
              <w:pStyle w:val="Compact"/>
              <w:jc w:val="right"/>
            </w:pPr>
            <w:r>
              <w:t xml:space="preserve">8.809</w:t>
            </w:r>
          </w:p>
        </w:tc>
        <w:tc>
          <w:p>
            <w:pPr>
              <w:pStyle w:val="Compact"/>
              <w:jc w:val="right"/>
            </w:pPr>
            <w:r>
              <w:t xml:space="preserve">2.001</w:t>
            </w:r>
          </w:p>
        </w:tc>
        <w:tc>
          <w:p>
            <w:pPr>
              <w:pStyle w:val="Compact"/>
              <w:jc w:val="right"/>
            </w:pPr>
            <w:r>
              <w:t xml:space="preserve">1.134</w:t>
            </w:r>
          </w:p>
        </w:tc>
        <w:tc>
          <w:p>
            <w:pPr>
              <w:pStyle w:val="Compact"/>
              <w:jc w:val="right"/>
            </w:pPr>
            <w:r>
              <w:t xml:space="preserve">1.118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205.raytrace</w:t>
            </w:r>
          </w:p>
        </w:tc>
        <w:tc>
          <w:p>
            <w:pPr>
              <w:pStyle w:val="Compact"/>
              <w:jc w:val="right"/>
            </w:pPr>
            <w:r>
              <w:t xml:space="preserve">2.756</w:t>
            </w:r>
          </w:p>
        </w:tc>
        <w:tc>
          <w:p>
            <w:pPr>
              <w:pStyle w:val="Compact"/>
              <w:jc w:val="right"/>
            </w:pPr>
            <w:r>
              <w:t xml:space="preserve">3.806</w:t>
            </w:r>
          </w:p>
        </w:tc>
        <w:tc>
          <w:p>
            <w:pPr>
              <w:pStyle w:val="Compact"/>
              <w:jc w:val="right"/>
            </w:pPr>
            <w:r>
              <w:t xml:space="preserve">3.606</w:t>
            </w:r>
          </w:p>
        </w:tc>
        <w:tc>
          <w:p>
            <w:pPr>
              <w:pStyle w:val="Compact"/>
              <w:jc w:val="right"/>
            </w:pPr>
            <w:r>
              <w:t xml:space="preserve">2.421</w:t>
            </w:r>
          </w:p>
        </w:tc>
        <w:tc>
          <w:p>
            <w:pPr>
              <w:pStyle w:val="Compact"/>
              <w:jc w:val="right"/>
            </w:pPr>
            <w:r>
              <w:t xml:space="preserve">2.307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209.db</w:t>
            </w:r>
          </w:p>
        </w:tc>
        <w:tc>
          <w:p>
            <w:pPr>
              <w:pStyle w:val="Compact"/>
              <w:jc w:val="right"/>
            </w:pPr>
            <w:r>
              <w:t xml:space="preserve">3.909</w:t>
            </w:r>
          </w:p>
        </w:tc>
        <w:tc>
          <w:p>
            <w:pPr>
              <w:pStyle w:val="Compact"/>
              <w:jc w:val="right"/>
            </w:pPr>
            <w:r>
              <w:t xml:space="preserve">6.480</w:t>
            </w:r>
          </w:p>
        </w:tc>
        <w:tc>
          <w:p>
            <w:pPr>
              <w:pStyle w:val="Compact"/>
              <w:jc w:val="right"/>
            </w:pPr>
            <w:r>
              <w:t xml:space="preserve">4.818</w:t>
            </w:r>
          </w:p>
        </w:tc>
        <w:tc>
          <w:p>
            <w:pPr>
              <w:pStyle w:val="Compact"/>
              <w:jc w:val="right"/>
            </w:pPr>
            <w:r>
              <w:t xml:space="preserve">3.665</w:t>
            </w:r>
          </w:p>
        </w:tc>
        <w:tc>
          <w:p>
            <w:pPr>
              <w:pStyle w:val="Compact"/>
              <w:jc w:val="right"/>
            </w:pPr>
            <w:r>
              <w:t xml:space="preserve">3.615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213.javac</w:t>
            </w:r>
          </w:p>
        </w:tc>
        <w:tc>
          <w:p>
            <w:pPr>
              <w:pStyle w:val="Compact"/>
              <w:jc w:val="right"/>
            </w:pPr>
            <w:r>
              <w:t xml:space="preserve">2.267</w:t>
            </w:r>
          </w:p>
        </w:tc>
        <w:tc>
          <w:p>
            <w:pPr>
              <w:pStyle w:val="Compact"/>
              <w:jc w:val="right"/>
            </w:pPr>
            <w:r>
              <w:t xml:space="preserve">3.181</w:t>
            </w:r>
          </w:p>
        </w:tc>
        <w:tc>
          <w:p>
            <w:pPr>
              <w:pStyle w:val="Compact"/>
              <w:jc w:val="right"/>
            </w:pPr>
            <w:r>
              <w:t xml:space="preserve">2.996</w:t>
            </w:r>
          </w:p>
        </w:tc>
        <w:tc>
          <w:p>
            <w:pPr>
              <w:pStyle w:val="Compact"/>
              <w:jc w:val="right"/>
            </w:pPr>
            <w:r>
              <w:t xml:space="preserve">2.061</w:t>
            </w:r>
          </w:p>
        </w:tc>
        <w:tc>
          <w:p>
            <w:pPr>
              <w:pStyle w:val="Compact"/>
              <w:jc w:val="right"/>
            </w:pPr>
            <w:r>
              <w:t xml:space="preserve">2.037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222.mpegaudio</w:t>
            </w:r>
          </w:p>
        </w:tc>
        <w:tc>
          <w:p>
            <w:pPr>
              <w:pStyle w:val="Compact"/>
              <w:jc w:val="right"/>
            </w:pPr>
            <w:r>
              <w:t xml:space="preserve">2.188</w:t>
            </w:r>
          </w:p>
        </w:tc>
        <w:tc>
          <w:p>
            <w:pPr>
              <w:pStyle w:val="Compact"/>
              <w:jc w:val="right"/>
            </w:pPr>
            <w:r>
              <w:t xml:space="preserve">3.154</w:t>
            </w:r>
          </w:p>
        </w:tc>
        <w:tc>
          <w:p>
            <w:pPr>
              <w:pStyle w:val="Compact"/>
              <w:jc w:val="right"/>
            </w:pPr>
            <w:r>
              <w:t xml:space="preserve">2.927</w:t>
            </w:r>
          </w:p>
        </w:tc>
        <w:tc>
          <w:p>
            <w:pPr>
              <w:pStyle w:val="Compact"/>
              <w:jc w:val="right"/>
            </w:pPr>
            <w:r>
              <w:t xml:space="preserve">2.057</w:t>
            </w:r>
          </w:p>
        </w:tc>
        <w:tc>
          <w:p>
            <w:pPr>
              <w:pStyle w:val="Compact"/>
              <w:jc w:val="right"/>
            </w:pPr>
            <w:r>
              <w:t xml:space="preserve">2.028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227.mtrt</w:t>
            </w:r>
          </w:p>
        </w:tc>
        <w:tc>
          <w:p>
            <w:pPr>
              <w:pStyle w:val="Compact"/>
              <w:jc w:val="right"/>
            </w:pPr>
            <w:r>
              <w:t xml:space="preserve">2.657</w:t>
            </w:r>
          </w:p>
        </w:tc>
        <w:tc>
          <w:p>
            <w:pPr>
              <w:pStyle w:val="Compact"/>
              <w:jc w:val="right"/>
            </w:pPr>
            <w:r>
              <w:t xml:space="preserve">3.706</w:t>
            </w:r>
          </w:p>
        </w:tc>
        <w:tc>
          <w:p>
            <w:pPr>
              <w:pStyle w:val="Compact"/>
              <w:jc w:val="right"/>
            </w:pPr>
            <w:r>
              <w:t xml:space="preserve">3.439</w:t>
            </w:r>
          </w:p>
        </w:tc>
        <w:tc>
          <w:p>
            <w:pPr>
              <w:pStyle w:val="Compact"/>
              <w:jc w:val="right"/>
            </w:pPr>
            <w:r>
              <w:t xml:space="preserve">2.419</w:t>
            </w:r>
          </w:p>
        </w:tc>
        <w:tc>
          <w:p>
            <w:pPr>
              <w:pStyle w:val="Compact"/>
              <w:jc w:val="right"/>
            </w:pPr>
            <w:r>
              <w:t xml:space="preserve">2.383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228.jack</w:t>
            </w:r>
          </w:p>
        </w:tc>
        <w:tc>
          <w:p>
            <w:pPr>
              <w:pStyle w:val="Compact"/>
              <w:jc w:val="right"/>
            </w:pPr>
            <w:r>
              <w:t xml:space="preserve">3.033</w:t>
            </w:r>
          </w:p>
        </w:tc>
        <w:tc>
          <w:p>
            <w:pPr>
              <w:pStyle w:val="Compact"/>
              <w:jc w:val="right"/>
            </w:pPr>
            <w:r>
              <w:t xml:space="preserve">7.691</w:t>
            </w:r>
          </w:p>
        </w:tc>
        <w:tc>
          <w:p>
            <w:pPr>
              <w:pStyle w:val="Compact"/>
              <w:jc w:val="right"/>
            </w:pPr>
            <w:r>
              <w:t xml:space="preserve">4.234</w:t>
            </w:r>
          </w:p>
        </w:tc>
        <w:tc>
          <w:p>
            <w:pPr>
              <w:pStyle w:val="Compact"/>
              <w:jc w:val="right"/>
            </w:pPr>
            <w:r>
              <w:t xml:space="preserve">2.385</w:t>
            </w:r>
          </w:p>
        </w:tc>
        <w:tc>
          <w:p>
            <w:pPr>
              <w:pStyle w:val="Compact"/>
              <w:jc w:val="right"/>
            </w:pPr>
            <w:r>
              <w:t xml:space="preserve">2.353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252.eon</w:t>
            </w:r>
          </w:p>
        </w:tc>
        <w:tc>
          <w:p>
            <w:pPr>
              <w:pStyle w:val="Compact"/>
              <w:jc w:val="right"/>
            </w:pPr>
            <w:r>
              <w:t xml:space="preserve">1.807</w:t>
            </w:r>
          </w:p>
        </w:tc>
        <w:tc>
          <w:p>
            <w:pPr>
              <w:pStyle w:val="Compact"/>
              <w:jc w:val="right"/>
            </w:pPr>
            <w:r>
              <w:t xml:space="preserve">9.405</w:t>
            </w:r>
          </w:p>
        </w:tc>
        <w:tc>
          <w:p>
            <w:pPr>
              <w:pStyle w:val="Compact"/>
              <w:jc w:val="right"/>
            </w:pPr>
            <w:r>
              <w:t xml:space="preserve">2.145</w:t>
            </w:r>
          </w:p>
        </w:tc>
        <w:tc>
          <w:p>
            <w:pPr>
              <w:pStyle w:val="Compact"/>
              <w:jc w:val="right"/>
            </w:pPr>
            <w:r>
              <w:t xml:space="preserve">1.470</w:t>
            </w:r>
          </w:p>
        </w:tc>
        <w:tc>
          <w:p>
            <w:pPr>
              <w:pStyle w:val="Compact"/>
              <w:jc w:val="right"/>
            </w:pPr>
            <w:r>
              <w:t xml:space="preserve">1.425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253.perlbmk</w:t>
            </w:r>
          </w:p>
        </w:tc>
        <w:tc>
          <w:p>
            <w:pPr>
              <w:pStyle w:val="Compact"/>
              <w:jc w:val="right"/>
            </w:pPr>
            <w:r>
              <w:t xml:space="preserve">2.554</w:t>
            </w:r>
          </w:p>
        </w:tc>
        <w:tc>
          <w:p>
            <w:pPr>
              <w:pStyle w:val="Compact"/>
              <w:jc w:val="right"/>
            </w:pPr>
            <w:r>
              <w:t xml:space="preserve">5.955</w:t>
            </w:r>
          </w:p>
        </w:tc>
        <w:tc>
          <w:p>
            <w:pPr>
              <w:pStyle w:val="Compact"/>
              <w:jc w:val="right"/>
            </w:pPr>
            <w:r>
              <w:t xml:space="preserve">5.120</w:t>
            </w:r>
          </w:p>
        </w:tc>
        <w:tc>
          <w:p>
            <w:pPr>
              <w:pStyle w:val="Compact"/>
              <w:jc w:val="right"/>
            </w:pPr>
            <w:r>
              <w:t xml:space="preserve">1.864</w:t>
            </w:r>
          </w:p>
        </w:tc>
        <w:tc>
          <w:p>
            <w:pPr>
              <w:pStyle w:val="Compact"/>
              <w:jc w:val="right"/>
            </w:pPr>
            <w:r>
              <w:t xml:space="preserve">1.819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254.gap</w:t>
            </w:r>
          </w:p>
        </w:tc>
        <w:tc>
          <w:p>
            <w:pPr>
              <w:pStyle w:val="Compact"/>
              <w:jc w:val="right"/>
            </w:pPr>
            <w:r>
              <w:t xml:space="preserve">3.926</w:t>
            </w:r>
          </w:p>
        </w:tc>
        <w:tc>
          <w:p>
            <w:pPr>
              <w:pStyle w:val="Compact"/>
              <w:jc w:val="right"/>
            </w:pPr>
            <w:r>
              <w:t xml:space="preserve">9.675</w:t>
            </w:r>
          </w:p>
        </w:tc>
        <w:tc>
          <w:p>
            <w:pPr>
              <w:pStyle w:val="Compact"/>
              <w:jc w:val="right"/>
            </w:pPr>
            <w:r>
              <w:t xml:space="preserve">4.304</w:t>
            </w:r>
          </w:p>
        </w:tc>
        <w:tc>
          <w:p>
            <w:pPr>
              <w:pStyle w:val="Compact"/>
              <w:jc w:val="right"/>
            </w:pPr>
            <w:r>
              <w:t xml:space="preserve">3.530</w:t>
            </w:r>
          </w:p>
        </w:tc>
        <w:tc>
          <w:p>
            <w:pPr>
              <w:pStyle w:val="Compact"/>
              <w:jc w:val="right"/>
            </w:pPr>
            <w:r>
              <w:t xml:space="preserve">3.507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255.vortex</w:t>
            </w:r>
          </w:p>
        </w:tc>
        <w:tc>
          <w:p>
            <w:pPr>
              <w:pStyle w:val="Compact"/>
              <w:jc w:val="right"/>
            </w:pPr>
            <w:r>
              <w:t xml:space="preserve">1.222</w:t>
            </w:r>
          </w:p>
        </w:tc>
        <w:tc>
          <w:p>
            <w:pPr>
              <w:pStyle w:val="Compact"/>
              <w:jc w:val="right"/>
            </w:pPr>
            <w:r>
              <w:t xml:space="preserve">1.916</w:t>
            </w:r>
          </w:p>
        </w:tc>
        <w:tc>
          <w:p>
            <w:pPr>
              <w:pStyle w:val="Compact"/>
              <w:jc w:val="right"/>
            </w:pPr>
            <w:r>
              <w:t xml:space="preserve">1.636</w:t>
            </w:r>
          </w:p>
        </w:tc>
        <w:tc>
          <w:p>
            <w:pPr>
              <w:pStyle w:val="Compact"/>
              <w:jc w:val="right"/>
            </w:pPr>
            <w:r>
              <w:t xml:space="preserve">0.836</w:t>
            </w:r>
          </w:p>
        </w:tc>
        <w:tc>
          <w:p>
            <w:pPr>
              <w:pStyle w:val="Compact"/>
              <w:jc w:val="right"/>
            </w:pPr>
            <w:r>
              <w:t xml:space="preserve">0.828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256.bzip2</w:t>
            </w:r>
          </w:p>
        </w:tc>
        <w:tc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p>
            <w:pPr>
              <w:pStyle w:val="Compact"/>
              <w:jc w:val="right"/>
            </w:pPr>
            <w:r>
              <w:t xml:space="preserve">0.110</w:t>
            </w:r>
          </w:p>
        </w:tc>
        <w:tc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p>
            <w:pPr>
              <w:pStyle w:val="Compact"/>
              <w:jc w:val="right"/>
            </w:pPr>
            <w:r>
              <w:t xml:space="preserve">0.057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300.twolf</w:t>
            </w:r>
          </w:p>
        </w:tc>
        <w:tc>
          <w:p>
            <w:pPr>
              <w:pStyle w:val="Compact"/>
              <w:jc w:val="right"/>
            </w:pPr>
            <w:r>
              <w:t xml:space="preserve">21.489</w:t>
            </w:r>
          </w:p>
        </w:tc>
        <w:tc>
          <w:p>
            <w:pPr>
              <w:pStyle w:val="Compact"/>
              <w:jc w:val="right"/>
            </w:pPr>
            <w:r>
              <w:t xml:space="preserve">21.942</w:t>
            </w:r>
          </w:p>
        </w:tc>
        <w:tc>
          <w:p>
            <w:pPr>
              <w:pStyle w:val="Compact"/>
              <w:jc w:val="right"/>
            </w:pPr>
            <w:r>
              <w:t xml:space="preserve">24.816</w:t>
            </w:r>
          </w:p>
        </w:tc>
        <w:tc>
          <w:p>
            <w:pPr>
              <w:pStyle w:val="Compact"/>
              <w:jc w:val="right"/>
            </w:pPr>
            <w:r>
              <w:t xml:space="preserve">21.529</w:t>
            </w:r>
          </w:p>
        </w:tc>
        <w:tc>
          <w:p>
            <w:pPr>
              <w:pStyle w:val="Compact"/>
              <w:jc w:val="right"/>
            </w:pPr>
            <w:r>
              <w:t xml:space="preserve">21.389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Average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6.306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10.299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7.756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5.931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5.848</w:t>
            </w:r>
          </w:p>
        </w:tc>
      </w:tr>
    </w:tbl>
    <w:p>
      <w:pPr>
        <w:pStyle w:val="BodyText"/>
      </w:pPr>
      <w:r>
        <w:t xml:space="preserve">The PM 4-way column is the output of the original driver</w:t>
      </w:r>
      <w:r>
        <w:t xml:space="preserve"> </w:t>
      </w:r>
      <w:r>
        <w:t xml:space="preserve">(</w:t>
      </w:r>
      <w:r>
        <w:rPr>
          <w:rStyle w:val="VerbatimChar"/>
        </w:rPr>
        <w:t xml:space="preserve">./run.sh traces</w:t>
      </w:r>
      <w:r>
        <w:t xml:space="preserve">, file</w:t>
      </w:r>
      <w:r>
        <w:t xml:space="preserve"> </w:t>
      </w:r>
      <w:r>
        <w:rPr>
          <w:rStyle w:val="VerbatimChar"/>
        </w:rPr>
        <w:t xml:space="preserve">results.txt</w:t>
      </w:r>
      <w:r>
        <w:t xml:space="preserve">); all the columns are produced by</w:t>
      </w:r>
      <w:r>
        <w:t xml:space="preserve"> </w:t>
      </w:r>
      <w:r>
        <w:rPr>
          <w:rStyle w:val="VerbatimChar"/>
        </w:rPr>
        <w:t xml:space="preserve">./compare.sh traces</w:t>
      </w:r>
      <w:r>
        <w:t xml:space="preserve"> </w:t>
      </w:r>
      <w:r>
        <w:t xml:space="preserve">(file</w:t>
      </w:r>
      <w:r>
        <w:t xml:space="preserve"> </w:t>
      </w:r>
      <w:r>
        <w:rPr>
          <w:rStyle w:val="VerbatimChar"/>
        </w:rPr>
        <w:t xml:space="preserve">comparison.txt</w:t>
      </w:r>
      <w:r>
        <w:t xml:space="preserve">).</w:t>
      </w:r>
    </w:p>
    <w:p>
      <w:pPr>
        <w:pStyle w:val="Heading2"/>
      </w:pPr>
      <w:bookmarkStart w:id="29" w:name="discussion"/>
      <w:r>
        <w:t xml:space="preserve">4.1 Discussion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The global predictor is what makes the hybrid work: the bimodal table alone</w:t>
      </w:r>
      <w:r>
        <w:t xml:space="preserve"> </w:t>
      </w:r>
      <w:r>
        <w:t xml:space="preserve">has 10.299 MPKI and the hybrid 5.848 (43% less).</w:t>
      </w:r>
    </w:p>
    <w:p>
      <w:pPr>
        <w:numPr>
          <w:ilvl w:val="0"/>
          <w:numId w:val="1004"/>
        </w:numPr>
        <w:pStyle w:val="Compact"/>
      </w:pPr>
      <w:r>
        <w:t xml:space="preserve">The submitted predictor is better than the sample gshare in all the 20</w:t>
      </w:r>
      <w:r>
        <w:t xml:space="preserve"> </w:t>
      </w:r>
      <w:r>
        <w:t xml:space="preserve">traces, with 7% fewer mispredictions on average and less than half of the</w:t>
      </w:r>
      <w:r>
        <w:t xml:space="preserve"> </w:t>
      </w:r>
      <w:r>
        <w:t xml:space="preserve">storage. The difference is large in the traces with many branches (176.gcc:</w:t>
      </w:r>
      <w:r>
        <w:t xml:space="preserve"> </w:t>
      </w:r>
      <w:r>
        <w:t xml:space="preserve">11.254 to 9.285). I did not measure the cause; the probable one is that</w:t>
      </w:r>
      <w:r>
        <w:t xml:space="preserve"> </w:t>
      </w:r>
      <w:r>
        <w:t xml:space="preserve">the tags avoid the aliasing between branches that gshare has, and the</w:t>
      </w:r>
      <w:r>
        <w:t xml:space="preserve"> </w:t>
      </w:r>
      <w:r>
        <w:t xml:space="preserve">bimodal table predicts the branches that do not need history.</w:t>
      </w:r>
    </w:p>
    <w:p>
      <w:pPr>
        <w:numPr>
          <w:ilvl w:val="0"/>
          <w:numId w:val="1004"/>
        </w:numPr>
        <w:pStyle w:val="Compact"/>
      </w:pPr>
      <w:r>
        <w:t xml:space="preserve">The allocation policy is the most important decision. With the allocation of</w:t>
      </w:r>
      <w:r>
        <w:t xml:space="preserve"> </w:t>
      </w:r>
      <w:r>
        <w:t xml:space="preserve">the handout example (every global miss) the average is 7.756, worse than</w:t>
      </w:r>
      <w:r>
        <w:t xml:space="preserve"> </w:t>
      </w:r>
      <w:r>
        <w:t xml:space="preserve">gshare: every branch executed replaces an entry, so the entries of the</w:t>
      </w:r>
      <w:r>
        <w:t xml:space="preserve"> </w:t>
      </w:r>
      <w:r>
        <w:t xml:space="preserve">branches that need history are evicted by branches that the bimodal table</w:t>
      </w:r>
      <w:r>
        <w:t xml:space="preserve"> </w:t>
      </w:r>
      <w:r>
        <w:t xml:space="preserve">already predicts well. Allocating only after a misprediction gives 5.848.</w:t>
      </w:r>
    </w:p>
    <w:p>
      <w:pPr>
        <w:numPr>
          <w:ilvl w:val="0"/>
          <w:numId w:val="1004"/>
        </w:numPr>
        <w:pStyle w:val="Compact"/>
      </w:pPr>
      <w:r>
        <w:t xml:space="preserve">4 ways are a little better than 2 ways (5.848 against 5.931) with the same</w:t>
      </w:r>
      <w:r>
        <w:t xml:space="preserve"> </w:t>
      </w:r>
      <w:r>
        <w:t xml:space="preserve">2048 entries.</w:t>
      </w:r>
    </w:p>
    <w:p>
      <w:pPr>
        <w:numPr>
          <w:ilvl w:val="0"/>
          <w:numId w:val="1004"/>
        </w:numPr>
        <w:pStyle w:val="Compact"/>
      </w:pPr>
      <w:r>
        <w:t xml:space="preserve">300.twolf, 181.mcf, 175.vpr and 164.gzip stay above 12 MPKI with all the</w:t>
      </w:r>
      <w:r>
        <w:t xml:space="preserve"> </w:t>
      </w:r>
      <w:r>
        <w:t xml:space="preserve">predictors, and the global predictor helps little there (300.twolf: 21.942</w:t>
      </w:r>
      <w:r>
        <w:t xml:space="preserve"> </w:t>
      </w:r>
      <w:r>
        <w:t xml:space="preserve">with the bimodal table alone, 21.389 with the hybrid).</w:t>
      </w:r>
    </w:p>
    <w:p>
      <w:pPr>
        <w:pStyle w:val="Heading1"/>
      </w:pPr>
      <w:bookmarkStart w:id="30" w:name="what-is-not-implemented"/>
      <w:r>
        <w:t xml:space="preserve">5. What is not implemented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Loop predictor, branch target prediction (</w:t>
      </w:r>
      <w:r>
        <w:rPr>
          <w:rStyle w:val="VerbatimChar"/>
        </w:rPr>
        <w:t xml:space="preserve">target_prediction</w:t>
      </w:r>
      <w:r>
        <w:t xml:space="preserve"> </w:t>
      </w:r>
      <w:r>
        <w:t xml:space="preserve">is always 0)</w:t>
      </w:r>
      <w:r>
        <w:t xml:space="preserve"> </w:t>
      </w:r>
      <w:r>
        <w:t xml:space="preserve">and the PIR hash; the assignment says these can be skipped.</w:t>
      </w:r>
    </w:p>
    <w:p>
      <w:pPr>
        <w:numPr>
          <w:ilvl w:val="0"/>
          <w:numId w:val="1005"/>
        </w:numPr>
        <w:pStyle w:val="Compact"/>
      </w:pPr>
      <w:r>
        <w:t xml:space="preserve">The extra credit class</w:t>
      </w:r>
      <w:r>
        <w:t xml:space="preserve"> </w:t>
      </w:r>
      <w:r>
        <w:rPr>
          <w:rStyle w:val="VerbatimChar"/>
        </w:rPr>
        <w:t xml:space="preserve">cpm_predictor</w:t>
      </w:r>
      <w:r>
        <w:t xml:space="preserve"> </w:t>
      </w:r>
      <w:r>
        <w:t xml:space="preserve">is not changed.</w:t>
      </w:r>
    </w:p>
    <w:p>
      <w:pPr>
        <w:pStyle w:val="Heading1"/>
      </w:pPr>
      <w:bookmarkStart w:id="31" w:name="how-to-run"/>
      <w:r>
        <w:t xml:space="preserve">6. How to run</w:t>
      </w:r>
      <w:bookmarkEnd w:id="31"/>
    </w:p>
    <w:p>
      <w:pPr>
        <w:pStyle w:val="SourceCode"/>
      </w:pPr>
      <w:r>
        <w:rPr>
          <w:rStyle w:val="VerbatimChar"/>
        </w:rPr>
        <w:t xml:space="preserve">cd src</w:t>
      </w:r>
      <w:r>
        <w:br/>
      </w:r>
      <w:r>
        <w:rPr>
          <w:rStyle w:val="VerbatimChar"/>
        </w:rPr>
        <w:t xml:space="preserve">make</w:t>
      </w:r>
      <w:r>
        <w:br/>
      </w:r>
      <w:r>
        <w:rPr>
          <w:rStyle w:val="VerbatimChar"/>
        </w:rPr>
        <w:t xml:space="preserve">cd ..</w:t>
      </w:r>
      <w:r>
        <w:br/>
      </w:r>
      <w:r>
        <w:rPr>
          <w:rStyle w:val="VerbatimChar"/>
        </w:rPr>
        <w:t xml:space="preserve">./run traces          # original script, needs csh and dc</w:t>
      </w:r>
      <w:r>
        <w:br/>
      </w:r>
      <w:r>
        <w:rPr>
          <w:rStyle w:val="VerbatimChar"/>
        </w:rPr>
        <w:t xml:space="preserve">./run.sh traces       # the same with bash</w:t>
      </w:r>
    </w:p>
    <w:p>
      <w:pPr>
        <w:pStyle w:val="FirstParagraph"/>
      </w:pPr>
      <w:r>
        <w:t xml:space="preserve">No external code was used.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1: Branch Predictor Implementation</dc:title>
  <dc:creator>Daniel Prol - UH ID: 2446940</dc:creator>
  <cp:keywords/>
  <dcterms:created xsi:type="dcterms:W3CDTF">2026-10-03T20:28:24Z</dcterms:created>
  <dcterms:modified xsi:type="dcterms:W3CDTF">2026-10-03T20:28:24Z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10pt</vt:lpwstr>
  </property>
  <property fmtid="{D5CDD505-2E9C-101B-9397-08002B2CF9AE}" pid="3" name="geometry">
    <vt:lpwstr>margin=2.2cm</vt:lpwstr>
  </property>
</Properties>
</file>