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331" w:rsidRDefault="005D5331">
      <w:pPr>
        <w:widowControl w:val="0"/>
        <w:autoSpaceDE w:val="0"/>
        <w:autoSpaceDN w:val="0"/>
        <w:adjustRightInd w:val="0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5D5331" w:rsidRDefault="005D5331">
      <w:pPr>
        <w:widowControl w:val="0"/>
        <w:autoSpaceDE w:val="0"/>
        <w:autoSpaceDN w:val="0"/>
        <w:adjustRightInd w:val="0"/>
        <w:jc w:val="center"/>
        <w:outlineLvl w:val="0"/>
      </w:pPr>
    </w:p>
    <w:p w:rsidR="005D5331" w:rsidRDefault="005D5331">
      <w:pPr>
        <w:widowControl w:val="0"/>
        <w:autoSpaceDE w:val="0"/>
        <w:autoSpaceDN w:val="0"/>
        <w:adjustRightInd w:val="0"/>
        <w:jc w:val="center"/>
        <w:outlineLvl w:val="0"/>
        <w:rPr>
          <w:b/>
          <w:bCs/>
        </w:rPr>
      </w:pPr>
      <w:bookmarkStart w:id="0" w:name="Par1"/>
      <w:bookmarkEnd w:id="0"/>
      <w:r>
        <w:rPr>
          <w:b/>
          <w:bCs/>
        </w:rPr>
        <w:t>МИНИСТЕРСТВО ФИНАНСОВ РОССИЙСКОЙ ФЕДЕРАЦИИ</w:t>
      </w:r>
    </w:p>
    <w:p w:rsidR="005D5331" w:rsidRDefault="005D5331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</w:p>
    <w:p w:rsidR="005D5331" w:rsidRDefault="005D5331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ФЕДЕРАЛЬНАЯ НАЛОГОВАЯ СЛУЖБА</w:t>
      </w:r>
    </w:p>
    <w:p w:rsidR="005D5331" w:rsidRDefault="005D5331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</w:p>
    <w:p w:rsidR="005D5331" w:rsidRDefault="005D5331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ПИСЬМО</w:t>
      </w:r>
    </w:p>
    <w:p w:rsidR="005D5331" w:rsidRDefault="005D5331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от 2 июля 2013 г. N ОА-4-13/11912</w:t>
      </w:r>
    </w:p>
    <w:p w:rsidR="005D5331" w:rsidRDefault="005D5331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</w:p>
    <w:p w:rsidR="005D5331" w:rsidRDefault="005D5331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О НАПРАВЛЕНИИ ПИСЬМА МИНФИНА РОССИИ</w:t>
      </w:r>
    </w:p>
    <w:p w:rsidR="005D5331" w:rsidRDefault="005D5331">
      <w:pPr>
        <w:widowControl w:val="0"/>
        <w:autoSpaceDE w:val="0"/>
        <w:autoSpaceDN w:val="0"/>
        <w:adjustRightInd w:val="0"/>
        <w:jc w:val="center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 xml:space="preserve">Федеральная налоговая служба направляет для сведения и использования в работе </w:t>
      </w:r>
      <w:hyperlink w:anchor="Par27" w:history="1">
        <w:r>
          <w:rPr>
            <w:color w:val="0000FF"/>
          </w:rPr>
          <w:t>письмо</w:t>
        </w:r>
      </w:hyperlink>
      <w:r>
        <w:t xml:space="preserve"> Департамента налоговой и таможенно-тарифной политики Министерства финансов Российской Федерации от 21.06.2013 N 03-01-18/23476 в отношении применения отдельных положений </w:t>
      </w:r>
      <w:hyperlink r:id="rId5" w:history="1">
        <w:r>
          <w:rPr>
            <w:color w:val="0000FF"/>
          </w:rPr>
          <w:t>статей 105.1</w:t>
        </w:r>
      </w:hyperlink>
      <w:r>
        <w:t xml:space="preserve">, </w:t>
      </w:r>
      <w:hyperlink r:id="rId6" w:history="1">
        <w:r>
          <w:rPr>
            <w:color w:val="0000FF"/>
          </w:rPr>
          <w:t>105.2</w:t>
        </w:r>
      </w:hyperlink>
      <w:r>
        <w:t xml:space="preserve"> Налогового кодекса Российской Федерации.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 xml:space="preserve">Управлениям ФНС России по субъектам Российской Федерации довести данное </w:t>
      </w:r>
      <w:hyperlink w:anchor="Par27" w:history="1">
        <w:r>
          <w:rPr>
            <w:color w:val="0000FF"/>
          </w:rPr>
          <w:t>письмо</w:t>
        </w:r>
      </w:hyperlink>
      <w:r>
        <w:t xml:space="preserve"> до нижестоящих налоговых органов.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jc w:val="right"/>
      </w:pPr>
      <w:r>
        <w:t>Действительный</w:t>
      </w:r>
    </w:p>
    <w:p w:rsidR="005D5331" w:rsidRDefault="005D5331">
      <w:pPr>
        <w:widowControl w:val="0"/>
        <w:autoSpaceDE w:val="0"/>
        <w:autoSpaceDN w:val="0"/>
        <w:adjustRightInd w:val="0"/>
        <w:jc w:val="right"/>
      </w:pPr>
      <w:r>
        <w:t>государственный советник</w:t>
      </w:r>
    </w:p>
    <w:p w:rsidR="005D5331" w:rsidRDefault="005D5331">
      <w:pPr>
        <w:widowControl w:val="0"/>
        <w:autoSpaceDE w:val="0"/>
        <w:autoSpaceDN w:val="0"/>
        <w:adjustRightInd w:val="0"/>
        <w:jc w:val="right"/>
      </w:pPr>
      <w:r>
        <w:t>Российской Федерации</w:t>
      </w:r>
    </w:p>
    <w:p w:rsidR="005D5331" w:rsidRDefault="005D5331">
      <w:pPr>
        <w:widowControl w:val="0"/>
        <w:autoSpaceDE w:val="0"/>
        <w:autoSpaceDN w:val="0"/>
        <w:adjustRightInd w:val="0"/>
        <w:jc w:val="right"/>
      </w:pPr>
      <w:r>
        <w:t>2 класса</w:t>
      </w:r>
    </w:p>
    <w:p w:rsidR="005D5331" w:rsidRDefault="005D5331">
      <w:pPr>
        <w:widowControl w:val="0"/>
        <w:autoSpaceDE w:val="0"/>
        <w:autoSpaceDN w:val="0"/>
        <w:adjustRightInd w:val="0"/>
        <w:jc w:val="right"/>
      </w:pPr>
      <w:r>
        <w:t>А.Л.ОВЕРЧУК</w:t>
      </w:r>
    </w:p>
    <w:p w:rsidR="005D5331" w:rsidRDefault="005D5331">
      <w:pPr>
        <w:widowControl w:val="0"/>
        <w:autoSpaceDE w:val="0"/>
        <w:autoSpaceDN w:val="0"/>
        <w:adjustRightInd w:val="0"/>
        <w:jc w:val="right"/>
      </w:pPr>
    </w:p>
    <w:p w:rsidR="005D5331" w:rsidRDefault="005D5331">
      <w:pPr>
        <w:widowControl w:val="0"/>
        <w:autoSpaceDE w:val="0"/>
        <w:autoSpaceDN w:val="0"/>
        <w:adjustRightInd w:val="0"/>
        <w:jc w:val="right"/>
      </w:pPr>
    </w:p>
    <w:p w:rsidR="005D5331" w:rsidRDefault="005D5331">
      <w:pPr>
        <w:widowControl w:val="0"/>
        <w:autoSpaceDE w:val="0"/>
        <w:autoSpaceDN w:val="0"/>
        <w:adjustRightInd w:val="0"/>
        <w:jc w:val="right"/>
      </w:pPr>
    </w:p>
    <w:p w:rsidR="005D5331" w:rsidRDefault="005D5331">
      <w:pPr>
        <w:widowControl w:val="0"/>
        <w:autoSpaceDE w:val="0"/>
        <w:autoSpaceDN w:val="0"/>
        <w:adjustRightInd w:val="0"/>
        <w:jc w:val="right"/>
      </w:pPr>
    </w:p>
    <w:p w:rsidR="005D5331" w:rsidRDefault="005D5331">
      <w:pPr>
        <w:widowControl w:val="0"/>
        <w:autoSpaceDE w:val="0"/>
        <w:autoSpaceDN w:val="0"/>
        <w:adjustRightInd w:val="0"/>
        <w:jc w:val="right"/>
      </w:pPr>
    </w:p>
    <w:p w:rsidR="005D5331" w:rsidRDefault="005D5331">
      <w:pPr>
        <w:widowControl w:val="0"/>
        <w:autoSpaceDE w:val="0"/>
        <w:autoSpaceDN w:val="0"/>
        <w:adjustRightInd w:val="0"/>
        <w:jc w:val="right"/>
        <w:outlineLvl w:val="0"/>
      </w:pPr>
      <w:bookmarkStart w:id="1" w:name="Par23"/>
      <w:bookmarkEnd w:id="1"/>
      <w:r>
        <w:t>Приложение</w:t>
      </w:r>
    </w:p>
    <w:p w:rsidR="005D5331" w:rsidRDefault="005D5331">
      <w:pPr>
        <w:widowControl w:val="0"/>
        <w:autoSpaceDE w:val="0"/>
        <w:autoSpaceDN w:val="0"/>
        <w:adjustRightInd w:val="0"/>
        <w:jc w:val="center"/>
      </w:pPr>
    </w:p>
    <w:p w:rsidR="005D5331" w:rsidRDefault="005D5331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МИНИСТЕРСТВО ФИНАНСОВ РОССИЙСКОЙ ФЕДЕРАЦИИ</w:t>
      </w:r>
    </w:p>
    <w:p w:rsidR="005D5331" w:rsidRDefault="005D5331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</w:p>
    <w:p w:rsidR="005D5331" w:rsidRDefault="005D5331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bookmarkStart w:id="2" w:name="Par27"/>
      <w:bookmarkEnd w:id="2"/>
      <w:r>
        <w:rPr>
          <w:b/>
          <w:bCs/>
        </w:rPr>
        <w:t>ПИСЬМО</w:t>
      </w:r>
    </w:p>
    <w:p w:rsidR="005D5331" w:rsidRDefault="005D5331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от 21 июня 2013 г. N 03-01-18/23476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Департамент налоговой и таможенно-тарифной политики рассмотрел заключение ФНС России по вопросам, поставленным в запросе МИ ФНС России по крупнейшим налогоплательщикам N 9, и сообщает.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 xml:space="preserve">Признание лиц взаимозависимыми и порядок определения доли участия одной организации в другой организации с 1 января 2012 года осуществляется на основании положений </w:t>
      </w:r>
      <w:hyperlink r:id="rId7" w:history="1">
        <w:r>
          <w:rPr>
            <w:color w:val="0000FF"/>
          </w:rPr>
          <w:t>статьей 105.1</w:t>
        </w:r>
      </w:hyperlink>
      <w:r>
        <w:t xml:space="preserve"> и </w:t>
      </w:r>
      <w:hyperlink r:id="rId8" w:history="1">
        <w:r>
          <w:rPr>
            <w:color w:val="0000FF"/>
          </w:rPr>
          <w:t>105.2</w:t>
        </w:r>
      </w:hyperlink>
      <w:r>
        <w:t xml:space="preserve"> Налогового кодекса Российской Федерации (далее - Кодекс).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 xml:space="preserve">Согласно </w:t>
      </w:r>
      <w:hyperlink r:id="rId9" w:history="1">
        <w:r>
          <w:rPr>
            <w:color w:val="0000FF"/>
          </w:rPr>
          <w:t>статье 105.1</w:t>
        </w:r>
      </w:hyperlink>
      <w:r>
        <w:t xml:space="preserve"> Кодекса для признания взаимной зависимости лиц учитывается влияние, которое может оказываться: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- в силу участия одного лица в капитале других лиц;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- в соответствии с заключенным между ними соглашением;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- при наличии иной возможности одного лица определять решения, принимаемые другими лицами.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 xml:space="preserve">При этом порядок определения доли участия одной организации в другой организации установлен </w:t>
      </w:r>
      <w:hyperlink r:id="rId10" w:history="1">
        <w:r>
          <w:rPr>
            <w:color w:val="0000FF"/>
          </w:rPr>
          <w:t>статьей 105.2</w:t>
        </w:r>
      </w:hyperlink>
      <w:r>
        <w:t xml:space="preserve"> Кодекса.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lastRenderedPageBreak/>
        <w:t xml:space="preserve">В соответствии с </w:t>
      </w:r>
      <w:hyperlink r:id="rId11" w:history="1">
        <w:r>
          <w:rPr>
            <w:color w:val="0000FF"/>
          </w:rPr>
          <w:t>пунктом 3 статьи 105.2</w:t>
        </w:r>
      </w:hyperlink>
      <w:r>
        <w:t xml:space="preserve"> Кодекса долей косвенного участия одной организации в другой организации признается доля, определяемая в следующем порядке: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1) определяются все последовательности участия одной организации в другой организации через прямое участие каждой предыдущей организации в каждой последующей организации соответствующей последовательности;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2) определяются доли прямого участия каждой предыдущей организации в каждой последующей организации соответствующей последовательности;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3) суммируются произведения долей прямого участия одной организации в другой организации через участие каждой предыдущей организации в каждой последующей организации всех последовательностей.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Указанные правила применяются также при определении доли участия физического лица в организации.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При этом обращаем внимание, что при определении доли участия одной организации в другой организации или физического лица в организации возможны ситуации, которые необходимо учитывать при определении взаимозависимости. В частности, по мнению Департамента, среди таких обстоятельств - различные варианты прямого и косвенного участия организации в собственном капитале: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 xml:space="preserve">- наличие собственных акций (долей), принадлежащих организации </w:t>
      </w:r>
      <w:hyperlink w:anchor="Par63" w:history="1">
        <w:r>
          <w:rPr>
            <w:color w:val="0000FF"/>
          </w:rPr>
          <w:t>(Приложение 1)</w:t>
        </w:r>
      </w:hyperlink>
      <w:r>
        <w:t>;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 xml:space="preserve">- "перекрестное" участие организаций в капитале друг друга - ситуация, когда одна организация (первая) напрямую участвует в другой организации, а последняя организация участвует в первой организации </w:t>
      </w:r>
      <w:hyperlink w:anchor="Par87" w:history="1">
        <w:r>
          <w:rPr>
            <w:color w:val="0000FF"/>
          </w:rPr>
          <w:t>(Приложение 2)</w:t>
        </w:r>
      </w:hyperlink>
      <w:r>
        <w:t>;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 xml:space="preserve">- "кольцевое" владение - ситуация, когда при определении косвенного участия одна организация через последовательности участия в других организациях, определяемые в соответствии с </w:t>
      </w:r>
      <w:hyperlink r:id="rId12" w:history="1">
        <w:r>
          <w:rPr>
            <w:color w:val="0000FF"/>
          </w:rPr>
          <w:t>подпунктом 1 пунктом 3 статьи 105.2</w:t>
        </w:r>
      </w:hyperlink>
      <w:r>
        <w:t xml:space="preserve"> Кодекса, косвенно участвует в собственном капитале (в себе) </w:t>
      </w:r>
      <w:hyperlink w:anchor="Par112" w:history="1">
        <w:r>
          <w:rPr>
            <w:color w:val="0000FF"/>
          </w:rPr>
          <w:t>(Приложение 3)</w:t>
        </w:r>
      </w:hyperlink>
      <w:r>
        <w:t>.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 xml:space="preserve">При наличии собственных акций (долей), принадлежащих организации, необходимо учитывать, что в соответствии с </w:t>
      </w:r>
      <w:hyperlink r:id="rId13" w:history="1">
        <w:r>
          <w:rPr>
            <w:color w:val="0000FF"/>
          </w:rPr>
          <w:t>пунктом 3 статьи 72</w:t>
        </w:r>
      </w:hyperlink>
      <w:r>
        <w:t xml:space="preserve"> Федерального закона от 26.12.1995 N 208-ФЗ "Об акционерных обществах" акции, приобретенные обществом, не предоставляют право голоса, они не учитываются при подсчете голосов, по ним не начисляются дивиденды. Аналогичная норма действует и в отношении обществ с ограниченной ответственностью: согласно </w:t>
      </w:r>
      <w:hyperlink r:id="rId14" w:history="1">
        <w:r>
          <w:rPr>
            <w:color w:val="0000FF"/>
          </w:rPr>
          <w:t>пункту 1 статьи 24</w:t>
        </w:r>
      </w:hyperlink>
      <w:r>
        <w:t xml:space="preserve"> Федерального закона от 08.02.1998 N 14-ФЗ "Об обществах с ограниченной ответственностью" доли, принадлежащие обществу, не учитываются при определении результатов голосования на общем собрании участников общества, при распределении прибыли общества, а также имущества общества в случае его ликвидации.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 xml:space="preserve">Например, если ОАО владеет 65% уставного капитала ЗАО, а оставшиеся 35% принадлежат непосредственно ЗАО, то для целей определения доли участия одной организации в другой на долю ОАО приходится 100-процентный пакет акций ЗАО (в порядке </w:t>
      </w:r>
      <w:hyperlink r:id="rId15" w:history="1">
        <w:r>
          <w:rPr>
            <w:color w:val="0000FF"/>
          </w:rPr>
          <w:t>пункта 4 статьи 105.2</w:t>
        </w:r>
      </w:hyperlink>
      <w:r>
        <w:t xml:space="preserve"> Кодекса).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 xml:space="preserve">В случаях "перекрестного" или "кольцевого" владения (взаимного владения) порядок определения прямого (косвенного) участия в организации, находящейся в "перекрестном" или "кольцевом" владении, по мнению Департамента, аналогичен порядку определения доли косвенного участия, установленному </w:t>
      </w:r>
      <w:hyperlink r:id="rId16" w:history="1">
        <w:r>
          <w:rPr>
            <w:color w:val="0000FF"/>
          </w:rPr>
          <w:t>пунктом 3 статьи 105.2</w:t>
        </w:r>
      </w:hyperlink>
      <w:r>
        <w:t xml:space="preserve"> Кодекса. При этом, с учетом того, что в случаях "перекрестного" и "кольцевого" владения создается ситуация бесконечного числа последовательностей участия одной организации в другой, возможно математическое преобразование доли прямого участия одной организации в другой организации, находящейся в "перекрестном" или "кольцевом" владении в следующем порядке: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определение доли косвенного участия организации в собственном капитале;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распределение данной доли на внешних собственников пропорционально их долям участия в капитале.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 xml:space="preserve">Примеры расчета "перекрестного" и "кольцевого" участия приведены в </w:t>
      </w:r>
      <w:hyperlink w:anchor="Par144" w:history="1">
        <w:r>
          <w:rPr>
            <w:color w:val="0000FF"/>
          </w:rPr>
          <w:t xml:space="preserve">Приложении </w:t>
        </w:r>
        <w:r>
          <w:rPr>
            <w:color w:val="0000FF"/>
          </w:rPr>
          <w:lastRenderedPageBreak/>
          <w:t>4</w:t>
        </w:r>
      </w:hyperlink>
      <w:r>
        <w:t>.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 xml:space="preserve">Расчет фактических долей участия в соответствии со схемой, предоставленной МИ ФНС России по крупнейшим налогоплательщикам N 9, приведен в </w:t>
      </w:r>
      <w:hyperlink w:anchor="Par195" w:history="1">
        <w:r>
          <w:rPr>
            <w:color w:val="0000FF"/>
          </w:rPr>
          <w:t>приложении 5</w:t>
        </w:r>
      </w:hyperlink>
      <w:r>
        <w:t>.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jc w:val="right"/>
      </w:pPr>
      <w:r>
        <w:t>Директор Департамента</w:t>
      </w:r>
    </w:p>
    <w:p w:rsidR="005D5331" w:rsidRDefault="005D5331">
      <w:pPr>
        <w:widowControl w:val="0"/>
        <w:autoSpaceDE w:val="0"/>
        <w:autoSpaceDN w:val="0"/>
        <w:adjustRightInd w:val="0"/>
        <w:jc w:val="right"/>
      </w:pPr>
      <w:r>
        <w:t>И.В.ТРУНИН</w:t>
      </w:r>
    </w:p>
    <w:p w:rsidR="005D5331" w:rsidRDefault="005D5331">
      <w:pPr>
        <w:widowControl w:val="0"/>
        <w:autoSpaceDE w:val="0"/>
        <w:autoSpaceDN w:val="0"/>
        <w:adjustRightInd w:val="0"/>
        <w:jc w:val="right"/>
      </w:pPr>
    </w:p>
    <w:p w:rsidR="005D5331" w:rsidRDefault="005D5331">
      <w:pPr>
        <w:widowControl w:val="0"/>
        <w:autoSpaceDE w:val="0"/>
        <w:autoSpaceDN w:val="0"/>
        <w:adjustRightInd w:val="0"/>
        <w:jc w:val="right"/>
      </w:pPr>
    </w:p>
    <w:p w:rsidR="005D5331" w:rsidRDefault="005D5331">
      <w:pPr>
        <w:widowControl w:val="0"/>
        <w:autoSpaceDE w:val="0"/>
        <w:autoSpaceDN w:val="0"/>
        <w:adjustRightInd w:val="0"/>
        <w:jc w:val="right"/>
      </w:pPr>
    </w:p>
    <w:p w:rsidR="005D5331" w:rsidRDefault="005D5331">
      <w:pPr>
        <w:widowControl w:val="0"/>
        <w:autoSpaceDE w:val="0"/>
        <w:autoSpaceDN w:val="0"/>
        <w:adjustRightInd w:val="0"/>
        <w:jc w:val="right"/>
      </w:pPr>
    </w:p>
    <w:p w:rsidR="005D5331" w:rsidRDefault="005D5331">
      <w:pPr>
        <w:widowControl w:val="0"/>
        <w:autoSpaceDE w:val="0"/>
        <w:autoSpaceDN w:val="0"/>
        <w:adjustRightInd w:val="0"/>
        <w:jc w:val="right"/>
      </w:pPr>
    </w:p>
    <w:p w:rsidR="005D5331" w:rsidRDefault="005D5331">
      <w:pPr>
        <w:widowControl w:val="0"/>
        <w:autoSpaceDE w:val="0"/>
        <w:autoSpaceDN w:val="0"/>
        <w:adjustRightInd w:val="0"/>
        <w:jc w:val="right"/>
        <w:outlineLvl w:val="1"/>
      </w:pPr>
      <w:bookmarkStart w:id="3" w:name="Par61"/>
      <w:bookmarkEnd w:id="3"/>
      <w:r>
        <w:t>Приложение 1</w:t>
      </w:r>
    </w:p>
    <w:p w:rsidR="005D5331" w:rsidRDefault="005D5331">
      <w:pPr>
        <w:widowControl w:val="0"/>
        <w:autoSpaceDE w:val="0"/>
        <w:autoSpaceDN w:val="0"/>
        <w:adjustRightInd w:val="0"/>
        <w:jc w:val="right"/>
      </w:pPr>
    </w:p>
    <w:p w:rsidR="005D5331" w:rsidRDefault="005D5331">
      <w:pPr>
        <w:widowControl w:val="0"/>
        <w:autoSpaceDE w:val="0"/>
        <w:autoSpaceDN w:val="0"/>
        <w:adjustRightInd w:val="0"/>
        <w:jc w:val="center"/>
      </w:pPr>
      <w:bookmarkStart w:id="4" w:name="Par63"/>
      <w:bookmarkEnd w:id="4"/>
      <w:r>
        <w:t>НАЛИЧИЕ</w:t>
      </w:r>
    </w:p>
    <w:p w:rsidR="005D5331" w:rsidRDefault="005D5331">
      <w:pPr>
        <w:widowControl w:val="0"/>
        <w:autoSpaceDE w:val="0"/>
        <w:autoSpaceDN w:val="0"/>
        <w:adjustRightInd w:val="0"/>
        <w:jc w:val="center"/>
      </w:pPr>
      <w:r>
        <w:t>СОБСТВЕННЫХ АКЦИЙ (ДОЛЕЙ), ПРИНАДЛЕЖАЩИХ ОРГАНИЗАЦИИ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pStyle w:val="ConsPlusNonformat"/>
        <w:jc w:val="both"/>
      </w:pPr>
      <w:r>
        <w:t xml:space="preserve">                                                    ┌─────────────────────┐</w:t>
      </w:r>
    </w:p>
    <w:p w:rsidR="005D5331" w:rsidRDefault="005D5331">
      <w:pPr>
        <w:pStyle w:val="ConsPlusNonformat"/>
        <w:jc w:val="both"/>
      </w:pPr>
      <w:r>
        <w:t xml:space="preserve">                                                    │      ОАО "B"        │</w:t>
      </w:r>
    </w:p>
    <w:p w:rsidR="005D5331" w:rsidRDefault="005D5331">
      <w:pPr>
        <w:pStyle w:val="ConsPlusNonformat"/>
        <w:jc w:val="both"/>
      </w:pPr>
      <w:r>
        <w:t xml:space="preserve">                                                    └─────────┬───────────┘</w:t>
      </w:r>
    </w:p>
    <w:p w:rsidR="005D5331" w:rsidRDefault="005D5331">
      <w:pPr>
        <w:pStyle w:val="ConsPlusNonformat"/>
        <w:jc w:val="both"/>
      </w:pPr>
      <w:r>
        <w:t xml:space="preserve">                                ───────                       │</w:t>
      </w:r>
    </w:p>
    <w:p w:rsidR="005D5331" w:rsidRDefault="005D5331">
      <w:pPr>
        <w:pStyle w:val="ConsPlusNonformat"/>
        <w:jc w:val="both"/>
      </w:pPr>
      <w:r>
        <w:t xml:space="preserve">               ┌───────────────(  65%  )──────────────────────┘</w:t>
      </w:r>
    </w:p>
    <w:p w:rsidR="005D5331" w:rsidRDefault="005D5331">
      <w:pPr>
        <w:pStyle w:val="ConsPlusNonformat"/>
        <w:jc w:val="both"/>
      </w:pPr>
      <w:r>
        <w:t xml:space="preserve">               │                ──────</w:t>
      </w:r>
    </w:p>
    <w:p w:rsidR="005D5331" w:rsidRDefault="005D5331">
      <w:pPr>
        <w:pStyle w:val="ConsPlusNonformat"/>
        <w:jc w:val="both"/>
      </w:pPr>
      <w:r>
        <w:t xml:space="preserve">               \/</w:t>
      </w:r>
    </w:p>
    <w:p w:rsidR="005D5331" w:rsidRDefault="005D5331">
      <w:pPr>
        <w:pStyle w:val="ConsPlusNonformat"/>
        <w:jc w:val="both"/>
      </w:pPr>
      <w:r>
        <w:t>┌───────────────────────┐</w:t>
      </w:r>
    </w:p>
    <w:p w:rsidR="005D5331" w:rsidRDefault="005D5331">
      <w:pPr>
        <w:pStyle w:val="ConsPlusNonformat"/>
        <w:jc w:val="both"/>
      </w:pPr>
      <w:r>
        <w:t>│       ЗАО "A"         │</w:t>
      </w:r>
    </w:p>
    <w:p w:rsidR="005D5331" w:rsidRDefault="005D5331">
      <w:pPr>
        <w:pStyle w:val="ConsPlusNonformat"/>
        <w:jc w:val="both"/>
      </w:pPr>
      <w:r>
        <w:t>└───┬───────────────────┘</w:t>
      </w:r>
    </w:p>
    <w:p w:rsidR="005D5331" w:rsidRDefault="005D5331">
      <w:pPr>
        <w:pStyle w:val="ConsPlusNonformat"/>
        <w:jc w:val="both"/>
      </w:pPr>
      <w:r>
        <w:t xml:space="preserve">    │               /\</w:t>
      </w:r>
    </w:p>
    <w:p w:rsidR="005D5331" w:rsidRDefault="005D5331">
      <w:pPr>
        <w:pStyle w:val="ConsPlusNonformat"/>
        <w:jc w:val="both"/>
      </w:pPr>
      <w:r>
        <w:t xml:space="preserve">    │    ───────    │</w:t>
      </w:r>
    </w:p>
    <w:p w:rsidR="005D5331" w:rsidRDefault="005D5331">
      <w:pPr>
        <w:pStyle w:val="ConsPlusNonformat"/>
        <w:jc w:val="both"/>
      </w:pPr>
      <w:r>
        <w:t xml:space="preserve">    └───(  35%  )───┘</w:t>
      </w:r>
    </w:p>
    <w:p w:rsidR="005D5331" w:rsidRDefault="005D5331">
      <w:pPr>
        <w:pStyle w:val="ConsPlusNonformat"/>
        <w:jc w:val="both"/>
      </w:pPr>
      <w:r>
        <w:t xml:space="preserve">         ───────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jc w:val="right"/>
        <w:outlineLvl w:val="1"/>
      </w:pPr>
      <w:bookmarkStart w:id="5" w:name="Par85"/>
      <w:bookmarkEnd w:id="5"/>
      <w:r>
        <w:t>Приложение 2</w:t>
      </w:r>
    </w:p>
    <w:p w:rsidR="005D5331" w:rsidRDefault="005D5331">
      <w:pPr>
        <w:widowControl w:val="0"/>
        <w:autoSpaceDE w:val="0"/>
        <w:autoSpaceDN w:val="0"/>
        <w:adjustRightInd w:val="0"/>
        <w:jc w:val="right"/>
      </w:pPr>
    </w:p>
    <w:p w:rsidR="005D5331" w:rsidRDefault="005D5331">
      <w:pPr>
        <w:widowControl w:val="0"/>
        <w:autoSpaceDE w:val="0"/>
        <w:autoSpaceDN w:val="0"/>
        <w:adjustRightInd w:val="0"/>
        <w:jc w:val="center"/>
      </w:pPr>
      <w:bookmarkStart w:id="6" w:name="Par87"/>
      <w:bookmarkEnd w:id="6"/>
      <w:r>
        <w:t>"ПЕРЕКРЕСТНОЕ" УЧАСТИЕ ОРГАНИЗАЦИЙ В КАПИТАЛЕ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pStyle w:val="ConsPlusNonformat"/>
        <w:jc w:val="both"/>
      </w:pPr>
      <w:r>
        <w:t>┌─────────────────────┐            ─────            ┌─────────────────────┐</w:t>
      </w:r>
    </w:p>
    <w:p w:rsidR="005D5331" w:rsidRDefault="005D5331">
      <w:pPr>
        <w:pStyle w:val="ConsPlusNonformat"/>
        <w:jc w:val="both"/>
      </w:pPr>
      <w:r>
        <w:t>│      ООО "D"        │───────────( 45% )──────────&gt;│      ООО "B"        │</w:t>
      </w:r>
    </w:p>
    <w:p w:rsidR="005D5331" w:rsidRDefault="005D5331">
      <w:pPr>
        <w:pStyle w:val="ConsPlusNonformat"/>
        <w:jc w:val="both"/>
      </w:pPr>
      <w:r>
        <w:t>└─────────────────────┘            ─────            └───────┬─────────────┘</w:t>
      </w:r>
    </w:p>
    <w:p w:rsidR="005D5331" w:rsidRDefault="005D5331">
      <w:pPr>
        <w:pStyle w:val="ConsPlusNonformat"/>
        <w:jc w:val="both"/>
      </w:pPr>
      <w:r>
        <w:t xml:space="preserve">                                                      /\    │</w:t>
      </w:r>
    </w:p>
    <w:p w:rsidR="005D5331" w:rsidRDefault="005D5331">
      <w:pPr>
        <w:pStyle w:val="ConsPlusNonformat"/>
        <w:jc w:val="both"/>
      </w:pPr>
      <w:r>
        <w:t xml:space="preserve">                                   ─────              │     │</w:t>
      </w:r>
    </w:p>
    <w:p w:rsidR="005D5331" w:rsidRDefault="005D5331">
      <w:pPr>
        <w:pStyle w:val="ConsPlusNonformat"/>
        <w:jc w:val="both"/>
      </w:pPr>
      <w:r>
        <w:t xml:space="preserve">              ┌───────────────────( 55% )─────────────┘     │</w:t>
      </w:r>
    </w:p>
    <w:p w:rsidR="005D5331" w:rsidRDefault="005D5331">
      <w:pPr>
        <w:pStyle w:val="ConsPlusNonformat"/>
        <w:jc w:val="both"/>
      </w:pPr>
      <w:r>
        <w:t xml:space="preserve">              │                    ─────                  ──┴──</w:t>
      </w:r>
    </w:p>
    <w:p w:rsidR="005D5331" w:rsidRDefault="005D5331">
      <w:pPr>
        <w:pStyle w:val="ConsPlusNonformat"/>
        <w:jc w:val="both"/>
      </w:pPr>
      <w:r>
        <w:t xml:space="preserve">              │    ┌─────────────────────────────────────( 40% )</w:t>
      </w:r>
    </w:p>
    <w:p w:rsidR="005D5331" w:rsidRDefault="005D5331">
      <w:pPr>
        <w:pStyle w:val="ConsPlusNonformat"/>
        <w:jc w:val="both"/>
      </w:pPr>
      <w:r>
        <w:t xml:space="preserve">              │    │                                      ─────</w:t>
      </w:r>
    </w:p>
    <w:p w:rsidR="005D5331" w:rsidRDefault="005D5331">
      <w:pPr>
        <w:pStyle w:val="ConsPlusNonformat"/>
        <w:jc w:val="both"/>
      </w:pPr>
      <w:r>
        <w:t xml:space="preserve">              │    \/</w:t>
      </w:r>
    </w:p>
    <w:p w:rsidR="005D5331" w:rsidRDefault="005D5331">
      <w:pPr>
        <w:pStyle w:val="ConsPlusNonformat"/>
        <w:jc w:val="both"/>
      </w:pPr>
      <w:r>
        <w:t>┌─────────────┴───────┐                      ─────</w:t>
      </w:r>
    </w:p>
    <w:p w:rsidR="005D5331" w:rsidRDefault="005D5331">
      <w:pPr>
        <w:pStyle w:val="ConsPlusNonformat"/>
        <w:jc w:val="both"/>
      </w:pPr>
      <w:r>
        <w:t>│      ООО "A"        │&lt;────────────────────( 60% )─────────┐</w:t>
      </w:r>
    </w:p>
    <w:p w:rsidR="005D5331" w:rsidRDefault="005D5331">
      <w:pPr>
        <w:pStyle w:val="ConsPlusNonformat"/>
        <w:jc w:val="both"/>
      </w:pPr>
      <w:r>
        <w:t>└─────────────────────┘                      ─────          │</w:t>
      </w:r>
    </w:p>
    <w:p w:rsidR="005D5331" w:rsidRDefault="005D5331">
      <w:pPr>
        <w:pStyle w:val="ConsPlusNonformat"/>
        <w:jc w:val="both"/>
      </w:pPr>
      <w:r>
        <w:t xml:space="preserve">                                                    ┌───────┴─────────────┐</w:t>
      </w:r>
    </w:p>
    <w:p w:rsidR="005D5331" w:rsidRDefault="005D5331">
      <w:pPr>
        <w:pStyle w:val="ConsPlusNonformat"/>
        <w:jc w:val="both"/>
      </w:pPr>
      <w:r>
        <w:t xml:space="preserve">                                                    │      ООО "E"        │</w:t>
      </w:r>
    </w:p>
    <w:p w:rsidR="005D5331" w:rsidRDefault="005D5331">
      <w:pPr>
        <w:pStyle w:val="ConsPlusNonformat"/>
        <w:jc w:val="both"/>
      </w:pPr>
      <w:r>
        <w:t xml:space="preserve">                                                    └─────────────────────┘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jc w:val="right"/>
        <w:outlineLvl w:val="1"/>
      </w:pPr>
      <w:bookmarkStart w:id="7" w:name="Par110"/>
      <w:bookmarkEnd w:id="7"/>
      <w:r>
        <w:t>Приложение 3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jc w:val="center"/>
      </w:pPr>
      <w:bookmarkStart w:id="8" w:name="Par112"/>
      <w:bookmarkEnd w:id="8"/>
      <w:r>
        <w:t>"КОЛЬЦЕВОЕ" ВЛАДЕНИЕ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pStyle w:val="ConsPlusNonformat"/>
        <w:jc w:val="both"/>
      </w:pPr>
      <w:r>
        <w:t>┌─────────────────────┐            ─────            ┌─────────────────────┐</w:t>
      </w:r>
    </w:p>
    <w:p w:rsidR="005D5331" w:rsidRDefault="005D5331">
      <w:pPr>
        <w:pStyle w:val="ConsPlusNonformat"/>
        <w:jc w:val="both"/>
      </w:pPr>
      <w:r>
        <w:t>│      ООО "D"        │───────────( 45% )──────────&gt;│      ООО "B"        │</w:t>
      </w:r>
    </w:p>
    <w:p w:rsidR="005D5331" w:rsidRDefault="005D5331">
      <w:pPr>
        <w:pStyle w:val="ConsPlusNonformat"/>
        <w:jc w:val="both"/>
      </w:pPr>
      <w:r>
        <w:t>└─────────────────────┘            ─────            └───────┬─────────────┘</w:t>
      </w:r>
    </w:p>
    <w:p w:rsidR="005D5331" w:rsidRDefault="005D5331">
      <w:pPr>
        <w:pStyle w:val="ConsPlusNonformat"/>
        <w:jc w:val="both"/>
      </w:pPr>
      <w:r>
        <w:t xml:space="preserve">                                                      /\    │</w:t>
      </w:r>
    </w:p>
    <w:p w:rsidR="005D5331" w:rsidRDefault="005D5331">
      <w:pPr>
        <w:pStyle w:val="ConsPlusNonformat"/>
        <w:jc w:val="both"/>
      </w:pPr>
      <w:r>
        <w:t xml:space="preserve">                                   ─────              │     │</w:t>
      </w:r>
    </w:p>
    <w:p w:rsidR="005D5331" w:rsidRDefault="005D5331">
      <w:pPr>
        <w:pStyle w:val="ConsPlusNonformat"/>
        <w:jc w:val="both"/>
      </w:pPr>
      <w:r>
        <w:t xml:space="preserve">              ┌───────────────────( 55% )─────────────┘     │</w:t>
      </w:r>
    </w:p>
    <w:p w:rsidR="005D5331" w:rsidRDefault="005D5331">
      <w:pPr>
        <w:pStyle w:val="ConsPlusNonformat"/>
        <w:jc w:val="both"/>
      </w:pPr>
      <w:r>
        <w:t xml:space="preserve">              │                    ─────                  ──┴──</w:t>
      </w:r>
    </w:p>
    <w:p w:rsidR="005D5331" w:rsidRDefault="005D5331">
      <w:pPr>
        <w:pStyle w:val="ConsPlusNonformat"/>
        <w:jc w:val="both"/>
      </w:pPr>
      <w:r>
        <w:t xml:space="preserve">              │                                          ( 40% )</w:t>
      </w:r>
    </w:p>
    <w:p w:rsidR="005D5331" w:rsidRDefault="005D5331">
      <w:pPr>
        <w:pStyle w:val="ConsPlusNonformat"/>
        <w:jc w:val="both"/>
      </w:pPr>
      <w:r>
        <w:t xml:space="preserve">              │                                           ──┬──</w:t>
      </w:r>
    </w:p>
    <w:p w:rsidR="005D5331" w:rsidRDefault="005D5331">
      <w:pPr>
        <w:pStyle w:val="ConsPlusNonformat"/>
        <w:jc w:val="both"/>
      </w:pPr>
      <w:r>
        <w:t xml:space="preserve">              │                                             │</w:t>
      </w:r>
    </w:p>
    <w:p w:rsidR="005D5331" w:rsidRDefault="005D5331">
      <w:pPr>
        <w:pStyle w:val="ConsPlusNonformat"/>
        <w:jc w:val="both"/>
      </w:pPr>
      <w:r>
        <w:t xml:space="preserve">              │                                             \/</w:t>
      </w:r>
    </w:p>
    <w:p w:rsidR="005D5331" w:rsidRDefault="005D5331">
      <w:pPr>
        <w:pStyle w:val="ConsPlusNonformat"/>
        <w:jc w:val="both"/>
      </w:pPr>
      <w:r>
        <w:t>┌─────────────┴───────┐                            ┌─────────────────────┐</w:t>
      </w:r>
    </w:p>
    <w:p w:rsidR="005D5331" w:rsidRDefault="005D5331">
      <w:pPr>
        <w:pStyle w:val="ConsPlusNonformat"/>
        <w:jc w:val="both"/>
      </w:pPr>
      <w:r>
        <w:t>│      ООО "A"        │&lt;──────────( 30% )──────────┤      ООО "C"        │</w:t>
      </w:r>
    </w:p>
    <w:p w:rsidR="005D5331" w:rsidRDefault="005D5331">
      <w:pPr>
        <w:pStyle w:val="ConsPlusNonformat"/>
        <w:jc w:val="both"/>
      </w:pPr>
      <w:r>
        <w:t>└─────────────────────┘                            └─────────────────────┘</w:t>
      </w:r>
    </w:p>
    <w:p w:rsidR="005D5331" w:rsidRDefault="005D5331">
      <w:pPr>
        <w:pStyle w:val="ConsPlusNonformat"/>
        <w:jc w:val="both"/>
      </w:pPr>
      <w:r>
        <w:t xml:space="preserve">          /\                                                /\</w:t>
      </w:r>
    </w:p>
    <w:p w:rsidR="005D5331" w:rsidRDefault="005D5331">
      <w:pPr>
        <w:pStyle w:val="ConsPlusNonformat"/>
        <w:jc w:val="both"/>
      </w:pPr>
      <w:r>
        <w:t xml:space="preserve">          │                                                  │</w:t>
      </w:r>
    </w:p>
    <w:p w:rsidR="005D5331" w:rsidRDefault="005D5331">
      <w:pPr>
        <w:pStyle w:val="ConsPlusNonformat"/>
        <w:jc w:val="both"/>
      </w:pPr>
      <w:r>
        <w:t xml:space="preserve">        ──┴──                                              ──┴──</w:t>
      </w:r>
    </w:p>
    <w:p w:rsidR="005D5331" w:rsidRDefault="005D5331">
      <w:pPr>
        <w:pStyle w:val="ConsPlusNonformat"/>
        <w:jc w:val="both"/>
      </w:pPr>
      <w:r>
        <w:t xml:space="preserve">       ( 70% )                                            ( 60% )</w:t>
      </w:r>
    </w:p>
    <w:p w:rsidR="005D5331" w:rsidRDefault="005D5331">
      <w:pPr>
        <w:pStyle w:val="ConsPlusNonformat"/>
        <w:jc w:val="both"/>
      </w:pPr>
      <w:r>
        <w:t xml:space="preserve">        ──┬──                                              ──┬──</w:t>
      </w:r>
    </w:p>
    <w:p w:rsidR="005D5331" w:rsidRDefault="005D5331">
      <w:pPr>
        <w:pStyle w:val="ConsPlusNonformat"/>
        <w:jc w:val="both"/>
      </w:pPr>
      <w:r>
        <w:t xml:space="preserve">          │                                                  │</w:t>
      </w:r>
    </w:p>
    <w:p w:rsidR="005D5331" w:rsidRDefault="005D5331">
      <w:pPr>
        <w:pStyle w:val="ConsPlusNonformat"/>
        <w:jc w:val="both"/>
      </w:pPr>
      <w:r>
        <w:t>┌─────────┴───────────┐                            ┌─────────┴───────────┐</w:t>
      </w:r>
    </w:p>
    <w:p w:rsidR="005D5331" w:rsidRDefault="005D5331">
      <w:pPr>
        <w:pStyle w:val="ConsPlusNonformat"/>
        <w:jc w:val="both"/>
      </w:pPr>
      <w:r>
        <w:t>│      ООО "E"        │&lt;──────────( 30% )──────────┤      ООО "F"        │</w:t>
      </w:r>
    </w:p>
    <w:p w:rsidR="005D5331" w:rsidRDefault="005D5331">
      <w:pPr>
        <w:pStyle w:val="ConsPlusNonformat"/>
        <w:jc w:val="both"/>
      </w:pPr>
      <w:r>
        <w:t>└─────────────────────┘                            └─────────────────────┘</w:t>
      </w:r>
    </w:p>
    <w:p w:rsidR="005D5331" w:rsidRDefault="005D5331">
      <w:pPr>
        <w:pStyle w:val="ConsPlusNonformat"/>
        <w:jc w:val="both"/>
        <w:sectPr w:rsidR="005D5331" w:rsidSect="00F447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jc w:val="right"/>
        <w:outlineLvl w:val="1"/>
      </w:pPr>
      <w:bookmarkStart w:id="9" w:name="Par142"/>
      <w:bookmarkEnd w:id="9"/>
      <w:r>
        <w:t>Приложение 4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jc w:val="center"/>
      </w:pPr>
      <w:bookmarkStart w:id="10" w:name="Par144"/>
      <w:bookmarkEnd w:id="10"/>
      <w:r>
        <w:t>ОПРЕДЕЛЕНИЕ</w:t>
      </w:r>
    </w:p>
    <w:p w:rsidR="005D5331" w:rsidRDefault="005D5331">
      <w:pPr>
        <w:widowControl w:val="0"/>
        <w:autoSpaceDE w:val="0"/>
        <w:autoSpaceDN w:val="0"/>
        <w:adjustRightInd w:val="0"/>
        <w:jc w:val="center"/>
      </w:pPr>
      <w:r>
        <w:t>ФАКТИЧЕСКОЙ ДОЛИ УЧАСТИЯ ОДНОЙ ОРГАНИЗАЦИИ В ДРУГОЙ</w:t>
      </w:r>
    </w:p>
    <w:p w:rsidR="005D5331" w:rsidRDefault="005D5331">
      <w:pPr>
        <w:widowControl w:val="0"/>
        <w:autoSpaceDE w:val="0"/>
        <w:autoSpaceDN w:val="0"/>
        <w:adjustRightInd w:val="0"/>
        <w:jc w:val="center"/>
      </w:pPr>
      <w:r>
        <w:t>В СИТУАЦИЯХ "ПЕРЕКРЕСТНОГО" ИЛИ "КОЛЬЦЕВОГО" ВЛАДЕНИЯ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  <w:outlineLvl w:val="2"/>
      </w:pPr>
      <w:bookmarkStart w:id="11" w:name="Par148"/>
      <w:bookmarkEnd w:id="11"/>
      <w:r>
        <w:t>1. Числовая последовательность - геометрическая прогрессия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Бесконечное число последовательностей участия одной организации в другой в ситуациях "перекрестного" или "кольцевого" владения для целей определения косвенного участия с математической точки зрения представляет собой геометрическую прогрессию то есть последовательность чисел (членов прогрессии), в которой каждое последующее число, начиная со второго, получается из предыдущего умножением его на определенное число (знаменатель прогрессии).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 xml:space="preserve">Например, исходя из рисунка в </w:t>
      </w:r>
      <w:hyperlink w:anchor="Par87" w:history="1">
        <w:r>
          <w:rPr>
            <w:color w:val="0000FF"/>
          </w:rPr>
          <w:t>приложении 2</w:t>
        </w:r>
      </w:hyperlink>
      <w:r>
        <w:t xml:space="preserve"> при определении доли косвенного участия ООО "D" в капитале ООО "B" выделяются следующие последовательности участия с соответствующей долей участия: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- последовательность 1 (прямое участие D-B) = 45%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- последовательность 2 (D-B-A-B) = 9,9% = 45% * 40% * 55%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- последовательность 3 (D-B-A-B-A-B) = 2,18% = 45% * 40% * 55% * 40% * 55%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- последовательность 4 (D-B-A-B-A-B-A-B) = 0,48% = 45% * 40% * 55% * 40% * 55% * 40% * 55%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- последовательность 5 (D-B-A-B-A-B-A-B-A-B) = 0,105%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- последовательность 6 (D-B-A-B-A-B-A-B-A-B-A-B) = 0,023%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- и.т.д.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Бесконечное количество последовательностей возможно упростить путем его математического преобразования.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Предположим,</w:t>
      </w:r>
    </w:p>
    <w:p w:rsidR="005D5331" w:rsidRDefault="00ED78AB">
      <w:pPr>
        <w:widowControl w:val="0"/>
        <w:autoSpaceDE w:val="0"/>
        <w:autoSpaceDN w:val="0"/>
        <w:adjustRightInd w:val="0"/>
        <w:ind w:firstLine="540"/>
        <w:jc w:val="both"/>
      </w:pPr>
      <w:r>
        <w:rPr>
          <w:noProof/>
          <w:position w:val="-14"/>
        </w:rPr>
        <w:drawing>
          <wp:inline distT="0" distB="0" distL="0" distR="0">
            <wp:extent cx="238125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5331">
        <w:t>- прямая доля участия организации i в организации j</w:t>
      </w:r>
    </w:p>
    <w:p w:rsidR="005D5331" w:rsidRDefault="00ED78AB">
      <w:pPr>
        <w:widowControl w:val="0"/>
        <w:autoSpaceDE w:val="0"/>
        <w:autoSpaceDN w:val="0"/>
        <w:adjustRightInd w:val="0"/>
        <w:ind w:firstLine="540"/>
        <w:jc w:val="both"/>
      </w:pPr>
      <w:r>
        <w:rPr>
          <w:noProof/>
          <w:position w:val="-14"/>
        </w:rPr>
        <w:drawing>
          <wp:inline distT="0" distB="0" distL="0" distR="0">
            <wp:extent cx="228600" cy="28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5331">
        <w:t xml:space="preserve"> - фактическая доля участия организации i в организации j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Исходя из указанного примера, фактическое участие компании "D" в капитале компании "B" является геометрической прогрессией и выглядит следующим образом:</w:t>
      </w:r>
    </w:p>
    <w:p w:rsidR="005D5331" w:rsidRDefault="005D5331">
      <w:pPr>
        <w:widowControl w:val="0"/>
        <w:autoSpaceDE w:val="0"/>
        <w:autoSpaceDN w:val="0"/>
        <w:adjustRightInd w:val="0"/>
        <w:jc w:val="center"/>
      </w:pPr>
    </w:p>
    <w:p w:rsidR="005D5331" w:rsidRDefault="00ED78AB">
      <w:pPr>
        <w:widowControl w:val="0"/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>
            <wp:extent cx="8686800" cy="5238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331" w:rsidRDefault="005D5331">
      <w:pPr>
        <w:widowControl w:val="0"/>
        <w:autoSpaceDE w:val="0"/>
        <w:autoSpaceDN w:val="0"/>
        <w:adjustRightInd w:val="0"/>
        <w:jc w:val="center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Таким образом, фактическое участие ООО "D" в капитале ООО "B" составляет 57,69% (45% / (1 - 55% * 40%)).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  <w:outlineLvl w:val="2"/>
      </w:pPr>
      <w:bookmarkStart w:id="12" w:name="Par168"/>
      <w:bookmarkEnd w:id="12"/>
      <w:r>
        <w:t>2. Матрица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В случае большого количества организаций, по которым требуется определение взаимозависимости, а также при наличии в структуре взаимозависимых лиц "перекрестного" или "кольцевого" владения, целесообразно использовать совокупность уравнений, преобразованных в матрицу.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При этом на практике с целью упрощения порядка нахождения фактической доли участия может быть использована обратная матрица, которую можно найти по следующей формуле: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ED78AB">
      <w:pPr>
        <w:widowControl w:val="0"/>
        <w:autoSpaceDE w:val="0"/>
        <w:autoSpaceDN w:val="0"/>
        <w:adjustRightInd w:val="0"/>
        <w:ind w:firstLine="540"/>
        <w:jc w:val="both"/>
      </w:pPr>
      <w:r>
        <w:rPr>
          <w:noProof/>
          <w:position w:val="-14"/>
        </w:rPr>
        <w:drawing>
          <wp:inline distT="0" distB="0" distL="0" distR="0">
            <wp:extent cx="1057275" cy="3333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5331">
        <w:t>, где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N матрица-результат, в которой отражена фактическая доля участия организации в других организациях (обратная матрица);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A - матрица, в которой отражена прямая доля участия организации в других организациях;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E - единичная матрица (диагональная матрица, у которой все диагональные элементы равны 1).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 xml:space="preserve">Исходя из рисунка в </w:t>
      </w:r>
      <w:hyperlink w:anchor="Par112" w:history="1">
        <w:r>
          <w:rPr>
            <w:color w:val="0000FF"/>
          </w:rPr>
          <w:t>приложении 3</w:t>
        </w:r>
      </w:hyperlink>
      <w:r>
        <w:t>:</w:t>
      </w:r>
    </w:p>
    <w:p w:rsidR="005D5331" w:rsidRDefault="005D5331">
      <w:pPr>
        <w:widowControl w:val="0"/>
        <w:autoSpaceDE w:val="0"/>
        <w:autoSpaceDN w:val="0"/>
        <w:adjustRightInd w:val="0"/>
        <w:jc w:val="right"/>
      </w:pPr>
    </w:p>
    <w:p w:rsidR="005D5331" w:rsidRDefault="00ED78AB">
      <w:pPr>
        <w:widowControl w:val="0"/>
        <w:autoSpaceDE w:val="0"/>
        <w:autoSpaceDN w:val="0"/>
        <w:adjustRightInd w:val="0"/>
        <w:jc w:val="center"/>
      </w:pPr>
      <w:r>
        <w:rPr>
          <w:noProof/>
          <w:position w:val="-50"/>
        </w:rPr>
        <w:drawing>
          <wp:inline distT="0" distB="0" distL="0" distR="0">
            <wp:extent cx="1504950" cy="857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5331">
        <w:t>,</w:t>
      </w:r>
    </w:p>
    <w:p w:rsidR="005D5331" w:rsidRDefault="005D5331">
      <w:pPr>
        <w:widowControl w:val="0"/>
        <w:autoSpaceDE w:val="0"/>
        <w:autoSpaceDN w:val="0"/>
        <w:adjustRightInd w:val="0"/>
        <w:jc w:val="right"/>
      </w:pPr>
    </w:p>
    <w:p w:rsidR="005D5331" w:rsidRDefault="005D5331">
      <w:pPr>
        <w:widowControl w:val="0"/>
        <w:autoSpaceDE w:val="0"/>
        <w:autoSpaceDN w:val="0"/>
        <w:adjustRightInd w:val="0"/>
        <w:jc w:val="center"/>
      </w:pPr>
      <w:r>
        <w:t>где 0,55 - доля прямого участия ООО "A" в ООО "B",</w:t>
      </w:r>
    </w:p>
    <w:p w:rsidR="005D5331" w:rsidRDefault="005D5331">
      <w:pPr>
        <w:widowControl w:val="0"/>
        <w:autoSpaceDE w:val="0"/>
        <w:autoSpaceDN w:val="0"/>
        <w:adjustRightInd w:val="0"/>
        <w:jc w:val="center"/>
      </w:pPr>
      <w:r>
        <w:t>0,4 - доля прямого участия ООО "B" в ООО "C",</w:t>
      </w:r>
    </w:p>
    <w:p w:rsidR="005D5331" w:rsidRDefault="005D5331">
      <w:pPr>
        <w:widowControl w:val="0"/>
        <w:autoSpaceDE w:val="0"/>
        <w:autoSpaceDN w:val="0"/>
        <w:adjustRightInd w:val="0"/>
        <w:jc w:val="center"/>
      </w:pPr>
      <w:r>
        <w:t>0,3 - доля прямого участия ООО "C" в ООО "A"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ED78AB">
      <w:pPr>
        <w:widowControl w:val="0"/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>
            <wp:extent cx="2381250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331" w:rsidRDefault="005D5331">
      <w:pPr>
        <w:widowControl w:val="0"/>
        <w:autoSpaceDE w:val="0"/>
        <w:autoSpaceDN w:val="0"/>
        <w:adjustRightInd w:val="0"/>
        <w:jc w:val="right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  <w:r>
        <w:t>Таким образом, доля фактического участия ООО "A" в ООО "B" составит 58,9%.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jc w:val="right"/>
        <w:outlineLvl w:val="1"/>
      </w:pPr>
      <w:bookmarkStart w:id="13" w:name="Par193"/>
      <w:bookmarkEnd w:id="13"/>
      <w:r>
        <w:t>Приложение 5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jc w:val="center"/>
      </w:pPr>
      <w:bookmarkStart w:id="14" w:name="Par195"/>
      <w:bookmarkEnd w:id="14"/>
      <w:r>
        <w:t>ОПРЕДЕЛЕНИЕ</w:t>
      </w:r>
    </w:p>
    <w:p w:rsidR="005D5331" w:rsidRDefault="005D5331">
      <w:pPr>
        <w:widowControl w:val="0"/>
        <w:autoSpaceDE w:val="0"/>
        <w:autoSpaceDN w:val="0"/>
        <w:adjustRightInd w:val="0"/>
        <w:jc w:val="center"/>
      </w:pPr>
      <w:r>
        <w:t>ФАКТИЧЕСКОЙ ДОЛИ УЧАСТИЯ ОДНОЙ ОРГАНИЗАЦИИ В ДРУГОЙ</w:t>
      </w:r>
    </w:p>
    <w:p w:rsidR="005D5331" w:rsidRDefault="005D5331">
      <w:pPr>
        <w:widowControl w:val="0"/>
        <w:autoSpaceDE w:val="0"/>
        <w:autoSpaceDN w:val="0"/>
        <w:adjustRightInd w:val="0"/>
        <w:jc w:val="center"/>
      </w:pPr>
      <w:r>
        <w:t>В СИТУАЦИЯХ "ПЕРЕКРЕСТНОГО" ИЛИ "КОЛЬЦЕВОГО" ВЛАДЕНИЯ</w:t>
      </w:r>
    </w:p>
    <w:p w:rsidR="005D5331" w:rsidRDefault="005D5331">
      <w:pPr>
        <w:widowControl w:val="0"/>
        <w:autoSpaceDE w:val="0"/>
        <w:autoSpaceDN w:val="0"/>
        <w:adjustRightInd w:val="0"/>
        <w:jc w:val="center"/>
      </w:pPr>
      <w:r>
        <w:t>(НА ОСНОВАНИИ СХЕМЫ, ПРЕДСТАВЛЕННОЙ МИ ФНС РОССИИ</w:t>
      </w:r>
    </w:p>
    <w:p w:rsidR="005D5331" w:rsidRDefault="005D5331">
      <w:pPr>
        <w:widowControl w:val="0"/>
        <w:autoSpaceDE w:val="0"/>
        <w:autoSpaceDN w:val="0"/>
        <w:adjustRightInd w:val="0"/>
        <w:jc w:val="center"/>
      </w:pPr>
      <w:r>
        <w:t>ПО КРУПНЕЙШИМ НАЛОГОПЛАТЕЛЬЩИКАМ N 9)</w:t>
      </w:r>
    </w:p>
    <w:p w:rsidR="005D5331" w:rsidRDefault="005D5331">
      <w:pPr>
        <w:widowControl w:val="0"/>
        <w:autoSpaceDE w:val="0"/>
        <w:autoSpaceDN w:val="0"/>
        <w:adjustRightInd w:val="0"/>
        <w:jc w:val="center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  <w:outlineLvl w:val="2"/>
      </w:pPr>
      <w:bookmarkStart w:id="15" w:name="Par201"/>
      <w:bookmarkEnd w:id="15"/>
      <w:r>
        <w:t>Таблица 1 - Прямое участие, в %</w:t>
      </w:r>
    </w:p>
    <w:p w:rsidR="005D5331" w:rsidRDefault="005D5331">
      <w:pPr>
        <w:widowControl w:val="0"/>
        <w:autoSpaceDE w:val="0"/>
        <w:autoSpaceDN w:val="0"/>
        <w:adjustRightInd w:val="0"/>
        <w:jc w:val="center"/>
      </w:pPr>
    </w:p>
    <w:tbl>
      <w:tblPr>
        <w:tblW w:w="0" w:type="auto"/>
        <w:tblCellSpacing w:w="5" w:type="nil"/>
        <w:tblInd w:w="40" w:type="dxa"/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/>
      </w:tblPr>
      <w:tblGrid>
        <w:gridCol w:w="1443"/>
        <w:gridCol w:w="777"/>
        <w:gridCol w:w="999"/>
        <w:gridCol w:w="999"/>
        <w:gridCol w:w="888"/>
        <w:gridCol w:w="999"/>
        <w:gridCol w:w="1110"/>
        <w:gridCol w:w="999"/>
        <w:gridCol w:w="999"/>
      </w:tblGrid>
      <w:tr w:rsidR="005D5331">
        <w:trPr>
          <w:tblCellSpacing w:w="5" w:type="nil"/>
        </w:trPr>
        <w:tc>
          <w:tcPr>
            <w:tcW w:w="1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Организации</w:t>
            </w:r>
          </w:p>
        </w:tc>
        <w:tc>
          <w:tcPr>
            <w:tcW w:w="7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А  </w:t>
            </w:r>
          </w:p>
        </w:tc>
        <w:tc>
          <w:tcPr>
            <w:tcW w:w="9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Б   </w:t>
            </w:r>
          </w:p>
        </w:tc>
        <w:tc>
          <w:tcPr>
            <w:tcW w:w="9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В   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Г   </w:t>
            </w:r>
          </w:p>
        </w:tc>
        <w:tc>
          <w:tcPr>
            <w:tcW w:w="9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Д  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Е    </w:t>
            </w:r>
          </w:p>
        </w:tc>
        <w:tc>
          <w:tcPr>
            <w:tcW w:w="9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Ж   </w:t>
            </w:r>
          </w:p>
        </w:tc>
        <w:tc>
          <w:tcPr>
            <w:tcW w:w="9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З   </w:t>
            </w:r>
          </w:p>
        </w:tc>
      </w:tr>
      <w:tr w:rsidR="005D5331">
        <w:trPr>
          <w:tblCellSpacing w:w="5" w:type="nil"/>
        </w:trPr>
        <w:tc>
          <w:tcPr>
            <w:tcW w:w="14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А     </w:t>
            </w:r>
          </w:p>
        </w:tc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100,00%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100,00%</w:t>
            </w:r>
          </w:p>
        </w:tc>
        <w:tc>
          <w:tcPr>
            <w:tcW w:w="88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5331">
        <w:trPr>
          <w:tblCellSpacing w:w="5" w:type="nil"/>
        </w:trPr>
        <w:tc>
          <w:tcPr>
            <w:tcW w:w="14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Б     </w:t>
            </w:r>
          </w:p>
        </w:tc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8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19,90%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19,00% </w:t>
            </w:r>
          </w:p>
        </w:tc>
      </w:tr>
      <w:tr w:rsidR="005D5331">
        <w:trPr>
          <w:tblCellSpacing w:w="5" w:type="nil"/>
        </w:trPr>
        <w:tc>
          <w:tcPr>
            <w:tcW w:w="14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В     </w:t>
            </w:r>
          </w:p>
        </w:tc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8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19,90% 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5331">
        <w:trPr>
          <w:tblCellSpacing w:w="5" w:type="nil"/>
        </w:trPr>
        <w:tc>
          <w:tcPr>
            <w:tcW w:w="14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Г     </w:t>
            </w:r>
          </w:p>
        </w:tc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8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33,30% </w:t>
            </w:r>
          </w:p>
        </w:tc>
        <w:tc>
          <w:tcPr>
            <w:tcW w:w="11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19,90% 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19,90% 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5331">
        <w:trPr>
          <w:tblCellSpacing w:w="5" w:type="nil"/>
        </w:trPr>
        <w:tc>
          <w:tcPr>
            <w:tcW w:w="14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Д     </w:t>
            </w:r>
          </w:p>
        </w:tc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8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19,90%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19,00% 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19,00% </w:t>
            </w:r>
          </w:p>
        </w:tc>
      </w:tr>
      <w:tr w:rsidR="005D5331">
        <w:trPr>
          <w:tblCellSpacing w:w="5" w:type="nil"/>
        </w:trPr>
        <w:tc>
          <w:tcPr>
            <w:tcW w:w="14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Е     </w:t>
            </w:r>
          </w:p>
        </w:tc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8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19,90%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33,30% </w:t>
            </w:r>
          </w:p>
        </w:tc>
        <w:tc>
          <w:tcPr>
            <w:tcW w:w="11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19,90% 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27,50% </w:t>
            </w:r>
          </w:p>
        </w:tc>
      </w:tr>
      <w:tr w:rsidR="005D5331">
        <w:trPr>
          <w:tblCellSpacing w:w="5" w:type="nil"/>
        </w:trPr>
        <w:tc>
          <w:tcPr>
            <w:tcW w:w="14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Ж     </w:t>
            </w:r>
          </w:p>
        </w:tc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8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19,90% 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19,90% </w:t>
            </w:r>
          </w:p>
        </w:tc>
      </w:tr>
      <w:tr w:rsidR="005D5331">
        <w:trPr>
          <w:tblCellSpacing w:w="5" w:type="nil"/>
        </w:trPr>
        <w:tc>
          <w:tcPr>
            <w:tcW w:w="14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З     </w:t>
            </w:r>
          </w:p>
        </w:tc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8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  <w:outlineLvl w:val="2"/>
      </w:pPr>
      <w:bookmarkStart w:id="16" w:name="Par223"/>
      <w:bookmarkEnd w:id="16"/>
      <w:r>
        <w:t>Таблица 2 - Фактическое участие, в %</w:t>
      </w:r>
    </w:p>
    <w:p w:rsidR="005D5331" w:rsidRDefault="005D5331">
      <w:pPr>
        <w:widowControl w:val="0"/>
        <w:autoSpaceDE w:val="0"/>
        <w:autoSpaceDN w:val="0"/>
        <w:adjustRightInd w:val="0"/>
        <w:jc w:val="center"/>
      </w:pPr>
    </w:p>
    <w:tbl>
      <w:tblPr>
        <w:tblW w:w="0" w:type="auto"/>
        <w:tblCellSpacing w:w="5" w:type="nil"/>
        <w:tblInd w:w="40" w:type="dxa"/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/>
      </w:tblPr>
      <w:tblGrid>
        <w:gridCol w:w="1443"/>
        <w:gridCol w:w="777"/>
        <w:gridCol w:w="999"/>
        <w:gridCol w:w="999"/>
        <w:gridCol w:w="888"/>
        <w:gridCol w:w="999"/>
        <w:gridCol w:w="1110"/>
        <w:gridCol w:w="999"/>
        <w:gridCol w:w="999"/>
      </w:tblGrid>
      <w:tr w:rsidR="005D5331">
        <w:trPr>
          <w:tblCellSpacing w:w="5" w:type="nil"/>
        </w:trPr>
        <w:tc>
          <w:tcPr>
            <w:tcW w:w="1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Организации</w:t>
            </w:r>
          </w:p>
        </w:tc>
        <w:tc>
          <w:tcPr>
            <w:tcW w:w="7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А  </w:t>
            </w:r>
          </w:p>
        </w:tc>
        <w:tc>
          <w:tcPr>
            <w:tcW w:w="9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Б   </w:t>
            </w:r>
          </w:p>
        </w:tc>
        <w:tc>
          <w:tcPr>
            <w:tcW w:w="9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В   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Г   </w:t>
            </w:r>
          </w:p>
        </w:tc>
        <w:tc>
          <w:tcPr>
            <w:tcW w:w="9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Д  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Е    </w:t>
            </w:r>
          </w:p>
        </w:tc>
        <w:tc>
          <w:tcPr>
            <w:tcW w:w="9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Ж   </w:t>
            </w:r>
          </w:p>
        </w:tc>
        <w:tc>
          <w:tcPr>
            <w:tcW w:w="9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З   </w:t>
            </w:r>
          </w:p>
        </w:tc>
      </w:tr>
      <w:tr w:rsidR="005D5331">
        <w:trPr>
          <w:tblCellSpacing w:w="5" w:type="nil"/>
        </w:trPr>
        <w:tc>
          <w:tcPr>
            <w:tcW w:w="14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А     </w:t>
            </w:r>
          </w:p>
        </w:tc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100% 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100%  </w:t>
            </w:r>
          </w:p>
        </w:tc>
        <w:tc>
          <w:tcPr>
            <w:tcW w:w="88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24,33%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11,64% </w:t>
            </w:r>
          </w:p>
        </w:tc>
        <w:tc>
          <w:tcPr>
            <w:tcW w:w="11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10,63% 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29,07% 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29,92% </w:t>
            </w:r>
          </w:p>
        </w:tc>
      </w:tr>
      <w:tr w:rsidR="005D5331">
        <w:trPr>
          <w:tblCellSpacing w:w="5" w:type="nil"/>
        </w:trPr>
        <w:tc>
          <w:tcPr>
            <w:tcW w:w="14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Б     </w:t>
            </w:r>
          </w:p>
        </w:tc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8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23,05%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9,71% </w:t>
            </w:r>
          </w:p>
        </w:tc>
        <w:tc>
          <w:tcPr>
            <w:tcW w:w="11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6,11%  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7,65% 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24,05% </w:t>
            </w:r>
          </w:p>
        </w:tc>
      </w:tr>
      <w:tr w:rsidR="005D5331">
        <w:trPr>
          <w:tblCellSpacing w:w="5" w:type="nil"/>
        </w:trPr>
        <w:tc>
          <w:tcPr>
            <w:tcW w:w="14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В     </w:t>
            </w:r>
          </w:p>
        </w:tc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8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1,28% 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1,93% </w:t>
            </w:r>
          </w:p>
        </w:tc>
        <w:tc>
          <w:tcPr>
            <w:tcW w:w="11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4,52%  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21,42% 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5,87% </w:t>
            </w:r>
          </w:p>
        </w:tc>
      </w:tr>
      <w:tr w:rsidR="005D5331">
        <w:trPr>
          <w:tblCellSpacing w:w="5" w:type="nil"/>
        </w:trPr>
        <w:tc>
          <w:tcPr>
            <w:tcW w:w="14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Г     </w:t>
            </w:r>
          </w:p>
        </w:tc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8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48,79% </w:t>
            </w:r>
          </w:p>
        </w:tc>
        <w:tc>
          <w:tcPr>
            <w:tcW w:w="11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30,69% 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38,43% 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25,36% </w:t>
            </w:r>
          </w:p>
        </w:tc>
      </w:tr>
      <w:tr w:rsidR="005D5331">
        <w:trPr>
          <w:tblCellSpacing w:w="5" w:type="nil"/>
        </w:trPr>
        <w:tc>
          <w:tcPr>
            <w:tcW w:w="14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Д     </w:t>
            </w:r>
          </w:p>
        </w:tc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8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24,27%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10,42% 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28,10% 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29,65% </w:t>
            </w:r>
          </w:p>
        </w:tc>
      </w:tr>
      <w:tr w:rsidR="005D5331">
        <w:trPr>
          <w:tblCellSpacing w:w="5" w:type="nil"/>
        </w:trPr>
        <w:tc>
          <w:tcPr>
            <w:tcW w:w="14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Е     </w:t>
            </w:r>
          </w:p>
        </w:tc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8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32,41%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48,79% </w:t>
            </w:r>
          </w:p>
        </w:tc>
        <w:tc>
          <w:tcPr>
            <w:tcW w:w="11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38,43% 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48,29% </w:t>
            </w:r>
          </w:p>
        </w:tc>
      </w:tr>
      <w:tr w:rsidR="005D5331">
        <w:trPr>
          <w:tblCellSpacing w:w="5" w:type="nil"/>
        </w:trPr>
        <w:tc>
          <w:tcPr>
            <w:tcW w:w="14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Ж     </w:t>
            </w:r>
          </w:p>
        </w:tc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8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6,45% 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9,71% </w:t>
            </w:r>
          </w:p>
        </w:tc>
        <w:tc>
          <w:tcPr>
            <w:tcW w:w="11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22,71% </w:t>
            </w: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29,51% </w:t>
            </w:r>
          </w:p>
        </w:tc>
      </w:tr>
      <w:tr w:rsidR="005D5331">
        <w:trPr>
          <w:tblCellSpacing w:w="5" w:type="nil"/>
        </w:trPr>
        <w:tc>
          <w:tcPr>
            <w:tcW w:w="14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З     </w:t>
            </w:r>
          </w:p>
        </w:tc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8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5331" w:rsidRDefault="005D53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D5331" w:rsidRDefault="005D5331">
      <w:pPr>
        <w:widowControl w:val="0"/>
        <w:autoSpaceDE w:val="0"/>
        <w:autoSpaceDN w:val="0"/>
        <w:adjustRightInd w:val="0"/>
        <w:jc w:val="center"/>
      </w:pPr>
    </w:p>
    <w:p w:rsidR="005D5331" w:rsidRDefault="005D5331">
      <w:pPr>
        <w:widowControl w:val="0"/>
        <w:autoSpaceDE w:val="0"/>
        <w:autoSpaceDN w:val="0"/>
        <w:adjustRightInd w:val="0"/>
        <w:jc w:val="center"/>
        <w:outlineLvl w:val="2"/>
      </w:pPr>
      <w:bookmarkStart w:id="17" w:name="Par245"/>
      <w:bookmarkEnd w:id="17"/>
      <w:r>
        <w:t>Схема участия, представленная МИ ФНС России по крупнейшим</w:t>
      </w:r>
    </w:p>
    <w:p w:rsidR="005D5331" w:rsidRDefault="005D5331">
      <w:pPr>
        <w:widowControl w:val="0"/>
        <w:autoSpaceDE w:val="0"/>
        <w:autoSpaceDN w:val="0"/>
        <w:adjustRightInd w:val="0"/>
        <w:jc w:val="center"/>
      </w:pPr>
      <w:r>
        <w:t>налогоплательщикам N 9</w:t>
      </w:r>
    </w:p>
    <w:p w:rsidR="005D5331" w:rsidRDefault="005D5331">
      <w:pPr>
        <w:widowControl w:val="0"/>
        <w:autoSpaceDE w:val="0"/>
        <w:autoSpaceDN w:val="0"/>
        <w:adjustRightInd w:val="0"/>
        <w:jc w:val="center"/>
        <w:sectPr w:rsidR="005D5331">
          <w:pgSz w:w="16838" w:h="11905" w:orient="landscape"/>
          <w:pgMar w:top="1701" w:right="1134" w:bottom="850" w:left="1134" w:header="720" w:footer="720" w:gutter="0"/>
          <w:cols w:space="720"/>
          <w:noEndnote/>
        </w:sectPr>
      </w:pPr>
    </w:p>
    <w:p w:rsidR="005D5331" w:rsidRDefault="005D5331">
      <w:pPr>
        <w:widowControl w:val="0"/>
        <w:autoSpaceDE w:val="0"/>
        <w:autoSpaceDN w:val="0"/>
        <w:adjustRightInd w:val="0"/>
        <w:jc w:val="center"/>
      </w:pP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┌────────────────────────────┐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│       Организация А   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└─────────────┬┬─────────────┘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││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┌───100──────────────┘└────────── 100────┐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│                                   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│                                   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\/                                       \/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┌─────────────────────┐                  ┌───────────────────┐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┌────────┤    Организация Б    │                  │   Организация В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└─────────┬───────────┘                  └───────────────────┤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│                                             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│                                             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└─────19,9───────────┐                        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│                        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                                \/                       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┌─────────────────┬────────────────────────────┐         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│                 │       Организация Г        │──────┐  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│      ┌─────────&gt;└─────────┬──────────────────┘      │  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│      │                    │      /\                 │  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│      │                    │      │                 19,9    19,9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33,3    19,9                  │      │                  │  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│      │                   19,9  19,9                 │  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19      │      │                    │      │                  │  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│      │                    │      │                  │  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\/     │                    \/     │                  \/      \/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┌────────────┴────┐            ┌─────────┴───┬────19,9──&gt;┌─────────────────┐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│  Организация Д  │&lt;───33,3────┤Организация Е│           │  Организация Ж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└─────┬──────┬────┘            └──────┬──────┘&lt;───19,9───┴───────┬─────────┘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│      │                        │                          │     /\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│      │                       27,5                        │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│      │                        │                          │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│      └──────19─────┐          │         ┌────19,9────────┘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│                    │          │         │                 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│                    \/         \/        \/                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│       │                 ┌────────────────────────────┐            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>└───────┼────────────────&gt;│       Организация З        │            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│                 └────────────────────────────┘            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│                                                                │</w:t>
      </w:r>
    </w:p>
    <w:p w:rsidR="005D5331" w:rsidRDefault="005D5331">
      <w:pPr>
        <w:pStyle w:val="ConsPlusNonformat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└────────────────────────────── 19 ──────────────────────────────┘</w:t>
      </w: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autoSpaceDE w:val="0"/>
        <w:autoSpaceDN w:val="0"/>
        <w:adjustRightInd w:val="0"/>
        <w:ind w:firstLine="540"/>
        <w:jc w:val="both"/>
      </w:pPr>
    </w:p>
    <w:p w:rsidR="005D5331" w:rsidRDefault="005D5331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/>
        <w:jc w:val="both"/>
        <w:rPr>
          <w:sz w:val="2"/>
          <w:szCs w:val="2"/>
        </w:rPr>
      </w:pPr>
    </w:p>
    <w:p w:rsidR="00345DE6" w:rsidRDefault="00345DE6"/>
    <w:sectPr w:rsidR="00345DE6">
      <w:pgSz w:w="11905" w:h="16838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compat/>
  <w:rsids>
    <w:rsidRoot w:val="005D5331"/>
    <w:rsid w:val="000008C9"/>
    <w:rsid w:val="00001A4C"/>
    <w:rsid w:val="00001B3F"/>
    <w:rsid w:val="00002597"/>
    <w:rsid w:val="00003A38"/>
    <w:rsid w:val="0000405C"/>
    <w:rsid w:val="00006636"/>
    <w:rsid w:val="000130D0"/>
    <w:rsid w:val="000152FE"/>
    <w:rsid w:val="00016257"/>
    <w:rsid w:val="0001753C"/>
    <w:rsid w:val="00022563"/>
    <w:rsid w:val="00023E8F"/>
    <w:rsid w:val="000246A9"/>
    <w:rsid w:val="00024EE0"/>
    <w:rsid w:val="00025FF2"/>
    <w:rsid w:val="00030B7A"/>
    <w:rsid w:val="00032ED7"/>
    <w:rsid w:val="00033F93"/>
    <w:rsid w:val="000348D4"/>
    <w:rsid w:val="000371E4"/>
    <w:rsid w:val="000371E9"/>
    <w:rsid w:val="00037BCF"/>
    <w:rsid w:val="00040963"/>
    <w:rsid w:val="00043042"/>
    <w:rsid w:val="000448D7"/>
    <w:rsid w:val="00045E58"/>
    <w:rsid w:val="000462EA"/>
    <w:rsid w:val="000469D5"/>
    <w:rsid w:val="00046E9F"/>
    <w:rsid w:val="00047DB8"/>
    <w:rsid w:val="000515FC"/>
    <w:rsid w:val="000531BB"/>
    <w:rsid w:val="000535DC"/>
    <w:rsid w:val="000536A9"/>
    <w:rsid w:val="00054459"/>
    <w:rsid w:val="00055D55"/>
    <w:rsid w:val="00057A8B"/>
    <w:rsid w:val="00057C28"/>
    <w:rsid w:val="000604EE"/>
    <w:rsid w:val="00060A9C"/>
    <w:rsid w:val="00061669"/>
    <w:rsid w:val="000637BB"/>
    <w:rsid w:val="00067152"/>
    <w:rsid w:val="00072B3F"/>
    <w:rsid w:val="000734C7"/>
    <w:rsid w:val="00075477"/>
    <w:rsid w:val="00075E3D"/>
    <w:rsid w:val="000761AF"/>
    <w:rsid w:val="00076F81"/>
    <w:rsid w:val="0008240E"/>
    <w:rsid w:val="000828B7"/>
    <w:rsid w:val="0008366E"/>
    <w:rsid w:val="0008538C"/>
    <w:rsid w:val="00086523"/>
    <w:rsid w:val="000910E6"/>
    <w:rsid w:val="000912DA"/>
    <w:rsid w:val="00091586"/>
    <w:rsid w:val="00093440"/>
    <w:rsid w:val="00093BE2"/>
    <w:rsid w:val="000A254C"/>
    <w:rsid w:val="000A28AD"/>
    <w:rsid w:val="000A40AE"/>
    <w:rsid w:val="000A4AD6"/>
    <w:rsid w:val="000A505F"/>
    <w:rsid w:val="000A50C7"/>
    <w:rsid w:val="000A7953"/>
    <w:rsid w:val="000B1F3C"/>
    <w:rsid w:val="000B41B2"/>
    <w:rsid w:val="000B448D"/>
    <w:rsid w:val="000B4DCA"/>
    <w:rsid w:val="000B7802"/>
    <w:rsid w:val="000C0426"/>
    <w:rsid w:val="000C1AD5"/>
    <w:rsid w:val="000C22C1"/>
    <w:rsid w:val="000C2CC7"/>
    <w:rsid w:val="000C39FD"/>
    <w:rsid w:val="000C4318"/>
    <w:rsid w:val="000C447D"/>
    <w:rsid w:val="000C47FB"/>
    <w:rsid w:val="000C5F09"/>
    <w:rsid w:val="000C6A13"/>
    <w:rsid w:val="000C6CFF"/>
    <w:rsid w:val="000C6D15"/>
    <w:rsid w:val="000C6D31"/>
    <w:rsid w:val="000D1079"/>
    <w:rsid w:val="000D342F"/>
    <w:rsid w:val="000D51A7"/>
    <w:rsid w:val="000D5418"/>
    <w:rsid w:val="000D57E6"/>
    <w:rsid w:val="000D5901"/>
    <w:rsid w:val="000D7B1E"/>
    <w:rsid w:val="000D7B64"/>
    <w:rsid w:val="000E0A3F"/>
    <w:rsid w:val="000E2369"/>
    <w:rsid w:val="000E292E"/>
    <w:rsid w:val="000E4167"/>
    <w:rsid w:val="000E4F9C"/>
    <w:rsid w:val="000F0951"/>
    <w:rsid w:val="000F26DF"/>
    <w:rsid w:val="000F3735"/>
    <w:rsid w:val="000F66EC"/>
    <w:rsid w:val="00101346"/>
    <w:rsid w:val="0010427D"/>
    <w:rsid w:val="00104D12"/>
    <w:rsid w:val="00110717"/>
    <w:rsid w:val="00111F9D"/>
    <w:rsid w:val="00112726"/>
    <w:rsid w:val="0011389F"/>
    <w:rsid w:val="00113935"/>
    <w:rsid w:val="001146B1"/>
    <w:rsid w:val="001152D7"/>
    <w:rsid w:val="00115FF3"/>
    <w:rsid w:val="0011635B"/>
    <w:rsid w:val="00120D21"/>
    <w:rsid w:val="0012135C"/>
    <w:rsid w:val="0012343B"/>
    <w:rsid w:val="001252AB"/>
    <w:rsid w:val="00126109"/>
    <w:rsid w:val="0012664C"/>
    <w:rsid w:val="00126CEA"/>
    <w:rsid w:val="001272A2"/>
    <w:rsid w:val="00127363"/>
    <w:rsid w:val="00127729"/>
    <w:rsid w:val="00127E68"/>
    <w:rsid w:val="00131983"/>
    <w:rsid w:val="00132313"/>
    <w:rsid w:val="0013507E"/>
    <w:rsid w:val="00135A00"/>
    <w:rsid w:val="00136321"/>
    <w:rsid w:val="001401B9"/>
    <w:rsid w:val="001402E6"/>
    <w:rsid w:val="00140BE7"/>
    <w:rsid w:val="00140E8A"/>
    <w:rsid w:val="00140ED8"/>
    <w:rsid w:val="00144535"/>
    <w:rsid w:val="00151465"/>
    <w:rsid w:val="00155488"/>
    <w:rsid w:val="00155D8D"/>
    <w:rsid w:val="001569DC"/>
    <w:rsid w:val="00156C9E"/>
    <w:rsid w:val="001601D8"/>
    <w:rsid w:val="001612F3"/>
    <w:rsid w:val="001635B8"/>
    <w:rsid w:val="00165E5E"/>
    <w:rsid w:val="00171429"/>
    <w:rsid w:val="001716F6"/>
    <w:rsid w:val="00172488"/>
    <w:rsid w:val="0017396E"/>
    <w:rsid w:val="00175521"/>
    <w:rsid w:val="001807D5"/>
    <w:rsid w:val="00190F10"/>
    <w:rsid w:val="001915BF"/>
    <w:rsid w:val="00191ADD"/>
    <w:rsid w:val="0019260C"/>
    <w:rsid w:val="00192DE2"/>
    <w:rsid w:val="00192FCD"/>
    <w:rsid w:val="00193203"/>
    <w:rsid w:val="001A112B"/>
    <w:rsid w:val="001A1D76"/>
    <w:rsid w:val="001A1FEC"/>
    <w:rsid w:val="001A32A2"/>
    <w:rsid w:val="001A3AA5"/>
    <w:rsid w:val="001A3B06"/>
    <w:rsid w:val="001A6595"/>
    <w:rsid w:val="001A75A7"/>
    <w:rsid w:val="001A7AF6"/>
    <w:rsid w:val="001B2AF2"/>
    <w:rsid w:val="001B2D1A"/>
    <w:rsid w:val="001B6AFC"/>
    <w:rsid w:val="001B7948"/>
    <w:rsid w:val="001B7999"/>
    <w:rsid w:val="001B7C2B"/>
    <w:rsid w:val="001C0B4B"/>
    <w:rsid w:val="001C0B82"/>
    <w:rsid w:val="001C1086"/>
    <w:rsid w:val="001C1472"/>
    <w:rsid w:val="001C2D21"/>
    <w:rsid w:val="001C3732"/>
    <w:rsid w:val="001C501D"/>
    <w:rsid w:val="001C549D"/>
    <w:rsid w:val="001C5818"/>
    <w:rsid w:val="001D0359"/>
    <w:rsid w:val="001D2258"/>
    <w:rsid w:val="001D25B5"/>
    <w:rsid w:val="001D3F26"/>
    <w:rsid w:val="001D5FFF"/>
    <w:rsid w:val="001D79B9"/>
    <w:rsid w:val="001E0E70"/>
    <w:rsid w:val="001E1073"/>
    <w:rsid w:val="001E2803"/>
    <w:rsid w:val="001E3D16"/>
    <w:rsid w:val="001E550F"/>
    <w:rsid w:val="001F2D4C"/>
    <w:rsid w:val="001F32BF"/>
    <w:rsid w:val="001F6101"/>
    <w:rsid w:val="00200754"/>
    <w:rsid w:val="00202079"/>
    <w:rsid w:val="002042CC"/>
    <w:rsid w:val="00205A19"/>
    <w:rsid w:val="002129A3"/>
    <w:rsid w:val="002146A4"/>
    <w:rsid w:val="00217230"/>
    <w:rsid w:val="0022123A"/>
    <w:rsid w:val="0022195D"/>
    <w:rsid w:val="002252BE"/>
    <w:rsid w:val="00227BD7"/>
    <w:rsid w:val="00230F70"/>
    <w:rsid w:val="00232480"/>
    <w:rsid w:val="00232D56"/>
    <w:rsid w:val="00233D2A"/>
    <w:rsid w:val="00233F8D"/>
    <w:rsid w:val="00236A2C"/>
    <w:rsid w:val="00236D99"/>
    <w:rsid w:val="00237A30"/>
    <w:rsid w:val="00241628"/>
    <w:rsid w:val="00250C19"/>
    <w:rsid w:val="002523AE"/>
    <w:rsid w:val="00253E2C"/>
    <w:rsid w:val="00255B66"/>
    <w:rsid w:val="00256C6C"/>
    <w:rsid w:val="00260FB8"/>
    <w:rsid w:val="00267530"/>
    <w:rsid w:val="0027005E"/>
    <w:rsid w:val="0027089A"/>
    <w:rsid w:val="002728B7"/>
    <w:rsid w:val="00282759"/>
    <w:rsid w:val="00282B51"/>
    <w:rsid w:val="002845FB"/>
    <w:rsid w:val="00285730"/>
    <w:rsid w:val="0028670E"/>
    <w:rsid w:val="00286E3D"/>
    <w:rsid w:val="0028743A"/>
    <w:rsid w:val="0029132D"/>
    <w:rsid w:val="002925F0"/>
    <w:rsid w:val="0029597F"/>
    <w:rsid w:val="002A0248"/>
    <w:rsid w:val="002A0865"/>
    <w:rsid w:val="002A10F5"/>
    <w:rsid w:val="002A5320"/>
    <w:rsid w:val="002A754C"/>
    <w:rsid w:val="002B3448"/>
    <w:rsid w:val="002B3D86"/>
    <w:rsid w:val="002B4EE2"/>
    <w:rsid w:val="002B52C7"/>
    <w:rsid w:val="002B7DAA"/>
    <w:rsid w:val="002C0617"/>
    <w:rsid w:val="002C2C4C"/>
    <w:rsid w:val="002C3150"/>
    <w:rsid w:val="002C5B3F"/>
    <w:rsid w:val="002C7216"/>
    <w:rsid w:val="002C7BFE"/>
    <w:rsid w:val="002D0C3E"/>
    <w:rsid w:val="002D139B"/>
    <w:rsid w:val="002D2A1A"/>
    <w:rsid w:val="002D3FEC"/>
    <w:rsid w:val="002D51CA"/>
    <w:rsid w:val="002D6129"/>
    <w:rsid w:val="002E1F16"/>
    <w:rsid w:val="002E200C"/>
    <w:rsid w:val="002E2C19"/>
    <w:rsid w:val="002E2E48"/>
    <w:rsid w:val="002E4729"/>
    <w:rsid w:val="002F1DAF"/>
    <w:rsid w:val="002F3A9A"/>
    <w:rsid w:val="002F41F6"/>
    <w:rsid w:val="0030094D"/>
    <w:rsid w:val="003016E0"/>
    <w:rsid w:val="0030218C"/>
    <w:rsid w:val="0030790E"/>
    <w:rsid w:val="00307F3A"/>
    <w:rsid w:val="00307F5C"/>
    <w:rsid w:val="00311989"/>
    <w:rsid w:val="00313329"/>
    <w:rsid w:val="0031345C"/>
    <w:rsid w:val="003138F6"/>
    <w:rsid w:val="00315DF8"/>
    <w:rsid w:val="00316FA6"/>
    <w:rsid w:val="0032597A"/>
    <w:rsid w:val="00325E52"/>
    <w:rsid w:val="0032654B"/>
    <w:rsid w:val="00330779"/>
    <w:rsid w:val="00337748"/>
    <w:rsid w:val="00341D8D"/>
    <w:rsid w:val="00342799"/>
    <w:rsid w:val="00342C8D"/>
    <w:rsid w:val="00345471"/>
    <w:rsid w:val="00345DE6"/>
    <w:rsid w:val="003476C0"/>
    <w:rsid w:val="0035206C"/>
    <w:rsid w:val="003535AE"/>
    <w:rsid w:val="00354065"/>
    <w:rsid w:val="003549AD"/>
    <w:rsid w:val="00355415"/>
    <w:rsid w:val="00360AF4"/>
    <w:rsid w:val="00362874"/>
    <w:rsid w:val="00365FFF"/>
    <w:rsid w:val="00370971"/>
    <w:rsid w:val="0037176A"/>
    <w:rsid w:val="003722B7"/>
    <w:rsid w:val="00375116"/>
    <w:rsid w:val="0037783C"/>
    <w:rsid w:val="003802E0"/>
    <w:rsid w:val="003826AC"/>
    <w:rsid w:val="00382D43"/>
    <w:rsid w:val="00382DAB"/>
    <w:rsid w:val="00383300"/>
    <w:rsid w:val="00385B17"/>
    <w:rsid w:val="003862B4"/>
    <w:rsid w:val="003912ED"/>
    <w:rsid w:val="0039139A"/>
    <w:rsid w:val="00392969"/>
    <w:rsid w:val="003940AA"/>
    <w:rsid w:val="00396080"/>
    <w:rsid w:val="00397F5A"/>
    <w:rsid w:val="003A1879"/>
    <w:rsid w:val="003A1D8A"/>
    <w:rsid w:val="003A4F9C"/>
    <w:rsid w:val="003A5824"/>
    <w:rsid w:val="003A651E"/>
    <w:rsid w:val="003A6811"/>
    <w:rsid w:val="003A7821"/>
    <w:rsid w:val="003B4A36"/>
    <w:rsid w:val="003B4E76"/>
    <w:rsid w:val="003B65A6"/>
    <w:rsid w:val="003C0D26"/>
    <w:rsid w:val="003C1978"/>
    <w:rsid w:val="003C738E"/>
    <w:rsid w:val="003D04B1"/>
    <w:rsid w:val="003D3CF8"/>
    <w:rsid w:val="003D4C43"/>
    <w:rsid w:val="003D60F8"/>
    <w:rsid w:val="003D6593"/>
    <w:rsid w:val="003D70EA"/>
    <w:rsid w:val="003E1AFC"/>
    <w:rsid w:val="003E1B9D"/>
    <w:rsid w:val="003E3150"/>
    <w:rsid w:val="003E533F"/>
    <w:rsid w:val="003E55BB"/>
    <w:rsid w:val="003E66E4"/>
    <w:rsid w:val="003F14F9"/>
    <w:rsid w:val="00400FA3"/>
    <w:rsid w:val="00401313"/>
    <w:rsid w:val="0040308F"/>
    <w:rsid w:val="0040357D"/>
    <w:rsid w:val="004063D0"/>
    <w:rsid w:val="004075C0"/>
    <w:rsid w:val="0041030A"/>
    <w:rsid w:val="0041161C"/>
    <w:rsid w:val="00411C32"/>
    <w:rsid w:val="00411FD5"/>
    <w:rsid w:val="00412530"/>
    <w:rsid w:val="00417591"/>
    <w:rsid w:val="00417FF7"/>
    <w:rsid w:val="00423D0D"/>
    <w:rsid w:val="004249A7"/>
    <w:rsid w:val="004269B6"/>
    <w:rsid w:val="00427C8D"/>
    <w:rsid w:val="00431C8F"/>
    <w:rsid w:val="00432E67"/>
    <w:rsid w:val="00433443"/>
    <w:rsid w:val="00433856"/>
    <w:rsid w:val="00433E94"/>
    <w:rsid w:val="0043533E"/>
    <w:rsid w:val="00441A8B"/>
    <w:rsid w:val="0044278B"/>
    <w:rsid w:val="00445654"/>
    <w:rsid w:val="00446116"/>
    <w:rsid w:val="0044616A"/>
    <w:rsid w:val="00446E10"/>
    <w:rsid w:val="00453570"/>
    <w:rsid w:val="00454490"/>
    <w:rsid w:val="004551E4"/>
    <w:rsid w:val="00455C6E"/>
    <w:rsid w:val="004568A1"/>
    <w:rsid w:val="0045744B"/>
    <w:rsid w:val="00461A1E"/>
    <w:rsid w:val="00464659"/>
    <w:rsid w:val="00467B4D"/>
    <w:rsid w:val="004705AD"/>
    <w:rsid w:val="0047402D"/>
    <w:rsid w:val="00474C7A"/>
    <w:rsid w:val="00476FA5"/>
    <w:rsid w:val="004772CA"/>
    <w:rsid w:val="004802C5"/>
    <w:rsid w:val="0048096D"/>
    <w:rsid w:val="004846FB"/>
    <w:rsid w:val="004854BD"/>
    <w:rsid w:val="00486FEA"/>
    <w:rsid w:val="00490A23"/>
    <w:rsid w:val="004914C3"/>
    <w:rsid w:val="00491D79"/>
    <w:rsid w:val="004926D4"/>
    <w:rsid w:val="00492995"/>
    <w:rsid w:val="004933BB"/>
    <w:rsid w:val="004943F0"/>
    <w:rsid w:val="00496F35"/>
    <w:rsid w:val="004A2F77"/>
    <w:rsid w:val="004A679C"/>
    <w:rsid w:val="004B0DA4"/>
    <w:rsid w:val="004B17CB"/>
    <w:rsid w:val="004B2A1A"/>
    <w:rsid w:val="004B3CE7"/>
    <w:rsid w:val="004B6A4C"/>
    <w:rsid w:val="004B79CB"/>
    <w:rsid w:val="004B7F2E"/>
    <w:rsid w:val="004C0EDA"/>
    <w:rsid w:val="004C1436"/>
    <w:rsid w:val="004C3473"/>
    <w:rsid w:val="004C3570"/>
    <w:rsid w:val="004C445E"/>
    <w:rsid w:val="004C6FE7"/>
    <w:rsid w:val="004C7096"/>
    <w:rsid w:val="004C7937"/>
    <w:rsid w:val="004D5182"/>
    <w:rsid w:val="004D5466"/>
    <w:rsid w:val="004D6BA8"/>
    <w:rsid w:val="004E407A"/>
    <w:rsid w:val="004E4944"/>
    <w:rsid w:val="004E58F9"/>
    <w:rsid w:val="004E5E35"/>
    <w:rsid w:val="004F0950"/>
    <w:rsid w:val="004F2FA0"/>
    <w:rsid w:val="004F3C6C"/>
    <w:rsid w:val="004F48DF"/>
    <w:rsid w:val="004F5132"/>
    <w:rsid w:val="004F6852"/>
    <w:rsid w:val="004F6E1F"/>
    <w:rsid w:val="00500C5C"/>
    <w:rsid w:val="005058C5"/>
    <w:rsid w:val="00505F42"/>
    <w:rsid w:val="00510BD1"/>
    <w:rsid w:val="00514102"/>
    <w:rsid w:val="00515D66"/>
    <w:rsid w:val="005160C8"/>
    <w:rsid w:val="00516426"/>
    <w:rsid w:val="00520050"/>
    <w:rsid w:val="005202A6"/>
    <w:rsid w:val="0052073D"/>
    <w:rsid w:val="005219EB"/>
    <w:rsid w:val="0052513C"/>
    <w:rsid w:val="00531AC5"/>
    <w:rsid w:val="00532FFB"/>
    <w:rsid w:val="00542AF4"/>
    <w:rsid w:val="0054605B"/>
    <w:rsid w:val="00546EE8"/>
    <w:rsid w:val="0054794D"/>
    <w:rsid w:val="00550574"/>
    <w:rsid w:val="00552D45"/>
    <w:rsid w:val="00555033"/>
    <w:rsid w:val="00556471"/>
    <w:rsid w:val="0056147A"/>
    <w:rsid w:val="0056181B"/>
    <w:rsid w:val="005619EC"/>
    <w:rsid w:val="00565070"/>
    <w:rsid w:val="005657F1"/>
    <w:rsid w:val="005719D6"/>
    <w:rsid w:val="00572B8D"/>
    <w:rsid w:val="00575219"/>
    <w:rsid w:val="00576C8F"/>
    <w:rsid w:val="00577E95"/>
    <w:rsid w:val="005815DD"/>
    <w:rsid w:val="005833C4"/>
    <w:rsid w:val="00585EEC"/>
    <w:rsid w:val="005904F4"/>
    <w:rsid w:val="0059078E"/>
    <w:rsid w:val="0059486F"/>
    <w:rsid w:val="005965D3"/>
    <w:rsid w:val="005A1745"/>
    <w:rsid w:val="005A1C6F"/>
    <w:rsid w:val="005A2A34"/>
    <w:rsid w:val="005A3528"/>
    <w:rsid w:val="005A39B8"/>
    <w:rsid w:val="005B12F8"/>
    <w:rsid w:val="005B2ECA"/>
    <w:rsid w:val="005B2FB5"/>
    <w:rsid w:val="005B7535"/>
    <w:rsid w:val="005C2A7A"/>
    <w:rsid w:val="005C2C60"/>
    <w:rsid w:val="005C4966"/>
    <w:rsid w:val="005C5D39"/>
    <w:rsid w:val="005D0E3D"/>
    <w:rsid w:val="005D5331"/>
    <w:rsid w:val="005D59AE"/>
    <w:rsid w:val="005D70DE"/>
    <w:rsid w:val="005D7719"/>
    <w:rsid w:val="005E5189"/>
    <w:rsid w:val="005E5430"/>
    <w:rsid w:val="005F08F8"/>
    <w:rsid w:val="005F2617"/>
    <w:rsid w:val="005F36D1"/>
    <w:rsid w:val="005F4B6D"/>
    <w:rsid w:val="005F7EB9"/>
    <w:rsid w:val="0060280D"/>
    <w:rsid w:val="00606519"/>
    <w:rsid w:val="0060760C"/>
    <w:rsid w:val="006079B1"/>
    <w:rsid w:val="006107C1"/>
    <w:rsid w:val="00613E76"/>
    <w:rsid w:val="00614F01"/>
    <w:rsid w:val="00616F97"/>
    <w:rsid w:val="00617756"/>
    <w:rsid w:val="00621C5B"/>
    <w:rsid w:val="00622BB5"/>
    <w:rsid w:val="00622D04"/>
    <w:rsid w:val="00626115"/>
    <w:rsid w:val="00626ADD"/>
    <w:rsid w:val="006277DC"/>
    <w:rsid w:val="00632349"/>
    <w:rsid w:val="00633DCA"/>
    <w:rsid w:val="0063648A"/>
    <w:rsid w:val="006416AE"/>
    <w:rsid w:val="006421D8"/>
    <w:rsid w:val="006435BD"/>
    <w:rsid w:val="00645FD2"/>
    <w:rsid w:val="0065251A"/>
    <w:rsid w:val="00653636"/>
    <w:rsid w:val="0065465C"/>
    <w:rsid w:val="00657171"/>
    <w:rsid w:val="006606A9"/>
    <w:rsid w:val="00661F07"/>
    <w:rsid w:val="00662FE6"/>
    <w:rsid w:val="006634B8"/>
    <w:rsid w:val="0066649E"/>
    <w:rsid w:val="006674AE"/>
    <w:rsid w:val="00673043"/>
    <w:rsid w:val="006730F3"/>
    <w:rsid w:val="00675994"/>
    <w:rsid w:val="00681E92"/>
    <w:rsid w:val="0068434E"/>
    <w:rsid w:val="006843F0"/>
    <w:rsid w:val="006905CE"/>
    <w:rsid w:val="00693100"/>
    <w:rsid w:val="0069327C"/>
    <w:rsid w:val="006933DF"/>
    <w:rsid w:val="00694DA0"/>
    <w:rsid w:val="00697976"/>
    <w:rsid w:val="006A1E16"/>
    <w:rsid w:val="006A54ED"/>
    <w:rsid w:val="006A67CF"/>
    <w:rsid w:val="006A6D59"/>
    <w:rsid w:val="006A76E8"/>
    <w:rsid w:val="006B3623"/>
    <w:rsid w:val="006B3A28"/>
    <w:rsid w:val="006B4C1A"/>
    <w:rsid w:val="006B6D1B"/>
    <w:rsid w:val="006B6ED0"/>
    <w:rsid w:val="006B78CB"/>
    <w:rsid w:val="006B7A27"/>
    <w:rsid w:val="006C1E13"/>
    <w:rsid w:val="006C73A4"/>
    <w:rsid w:val="006C7B78"/>
    <w:rsid w:val="006D0912"/>
    <w:rsid w:val="006D0CEA"/>
    <w:rsid w:val="006D1916"/>
    <w:rsid w:val="006D51C0"/>
    <w:rsid w:val="006D5A0B"/>
    <w:rsid w:val="006D5A20"/>
    <w:rsid w:val="006D5AF1"/>
    <w:rsid w:val="006D7006"/>
    <w:rsid w:val="006D70BB"/>
    <w:rsid w:val="006E2122"/>
    <w:rsid w:val="006E3B3E"/>
    <w:rsid w:val="006E57F9"/>
    <w:rsid w:val="006E6A65"/>
    <w:rsid w:val="006F2AEF"/>
    <w:rsid w:val="006F4D83"/>
    <w:rsid w:val="006F58C1"/>
    <w:rsid w:val="006F5A3B"/>
    <w:rsid w:val="00701301"/>
    <w:rsid w:val="007022B1"/>
    <w:rsid w:val="00702D0D"/>
    <w:rsid w:val="00703CFB"/>
    <w:rsid w:val="0070403F"/>
    <w:rsid w:val="00704C91"/>
    <w:rsid w:val="00705345"/>
    <w:rsid w:val="007053DA"/>
    <w:rsid w:val="007068E2"/>
    <w:rsid w:val="00711246"/>
    <w:rsid w:val="0071423D"/>
    <w:rsid w:val="0071470A"/>
    <w:rsid w:val="007147EF"/>
    <w:rsid w:val="00714AB4"/>
    <w:rsid w:val="007174F5"/>
    <w:rsid w:val="00717746"/>
    <w:rsid w:val="00720C38"/>
    <w:rsid w:val="0072100E"/>
    <w:rsid w:val="007215B5"/>
    <w:rsid w:val="0072236F"/>
    <w:rsid w:val="00724C43"/>
    <w:rsid w:val="00726BE3"/>
    <w:rsid w:val="00726E6C"/>
    <w:rsid w:val="00733D61"/>
    <w:rsid w:val="007347D5"/>
    <w:rsid w:val="00734C8B"/>
    <w:rsid w:val="00735A17"/>
    <w:rsid w:val="00735D17"/>
    <w:rsid w:val="0074208D"/>
    <w:rsid w:val="00742F16"/>
    <w:rsid w:val="00743862"/>
    <w:rsid w:val="00744B62"/>
    <w:rsid w:val="00744EEF"/>
    <w:rsid w:val="00745C35"/>
    <w:rsid w:val="007477D6"/>
    <w:rsid w:val="00753624"/>
    <w:rsid w:val="007544BF"/>
    <w:rsid w:val="00754817"/>
    <w:rsid w:val="00755BB6"/>
    <w:rsid w:val="00756498"/>
    <w:rsid w:val="00757582"/>
    <w:rsid w:val="00757CCF"/>
    <w:rsid w:val="00761651"/>
    <w:rsid w:val="0076166C"/>
    <w:rsid w:val="007623B2"/>
    <w:rsid w:val="00766D4D"/>
    <w:rsid w:val="007675E1"/>
    <w:rsid w:val="00771DC8"/>
    <w:rsid w:val="00772C14"/>
    <w:rsid w:val="00775A0C"/>
    <w:rsid w:val="00775FFC"/>
    <w:rsid w:val="007829F6"/>
    <w:rsid w:val="0078448A"/>
    <w:rsid w:val="0078579B"/>
    <w:rsid w:val="00786136"/>
    <w:rsid w:val="007866ED"/>
    <w:rsid w:val="0079130E"/>
    <w:rsid w:val="007913D9"/>
    <w:rsid w:val="00792F2C"/>
    <w:rsid w:val="00794C41"/>
    <w:rsid w:val="0079785F"/>
    <w:rsid w:val="007A2F68"/>
    <w:rsid w:val="007A47A2"/>
    <w:rsid w:val="007A67B5"/>
    <w:rsid w:val="007A6A9A"/>
    <w:rsid w:val="007A7093"/>
    <w:rsid w:val="007A74EE"/>
    <w:rsid w:val="007A7ACC"/>
    <w:rsid w:val="007B096E"/>
    <w:rsid w:val="007B27EE"/>
    <w:rsid w:val="007B3CE9"/>
    <w:rsid w:val="007B7BA9"/>
    <w:rsid w:val="007C12F9"/>
    <w:rsid w:val="007C1538"/>
    <w:rsid w:val="007C555C"/>
    <w:rsid w:val="007C7149"/>
    <w:rsid w:val="007C7EC2"/>
    <w:rsid w:val="007D3C62"/>
    <w:rsid w:val="007D7F1E"/>
    <w:rsid w:val="007E2735"/>
    <w:rsid w:val="007E5E84"/>
    <w:rsid w:val="007F0236"/>
    <w:rsid w:val="007F0768"/>
    <w:rsid w:val="007F116E"/>
    <w:rsid w:val="007F142D"/>
    <w:rsid w:val="007F509B"/>
    <w:rsid w:val="007F6FDB"/>
    <w:rsid w:val="007F7773"/>
    <w:rsid w:val="0080115B"/>
    <w:rsid w:val="00801866"/>
    <w:rsid w:val="00801C2E"/>
    <w:rsid w:val="008055EC"/>
    <w:rsid w:val="00811CD3"/>
    <w:rsid w:val="0081235F"/>
    <w:rsid w:val="00817F7B"/>
    <w:rsid w:val="00820434"/>
    <w:rsid w:val="00822E2D"/>
    <w:rsid w:val="00825147"/>
    <w:rsid w:val="00825514"/>
    <w:rsid w:val="00825C04"/>
    <w:rsid w:val="00826171"/>
    <w:rsid w:val="0082678F"/>
    <w:rsid w:val="008272DA"/>
    <w:rsid w:val="008273EE"/>
    <w:rsid w:val="00827D0A"/>
    <w:rsid w:val="00831352"/>
    <w:rsid w:val="00831894"/>
    <w:rsid w:val="00833E1C"/>
    <w:rsid w:val="008346B6"/>
    <w:rsid w:val="00834C48"/>
    <w:rsid w:val="008350CB"/>
    <w:rsid w:val="00840B21"/>
    <w:rsid w:val="008532B0"/>
    <w:rsid w:val="00856B4F"/>
    <w:rsid w:val="00857DEE"/>
    <w:rsid w:val="00862E77"/>
    <w:rsid w:val="0086480E"/>
    <w:rsid w:val="00866041"/>
    <w:rsid w:val="0086610F"/>
    <w:rsid w:val="00866CD3"/>
    <w:rsid w:val="008672A6"/>
    <w:rsid w:val="00867A59"/>
    <w:rsid w:val="00870B7B"/>
    <w:rsid w:val="00871CA8"/>
    <w:rsid w:val="00872546"/>
    <w:rsid w:val="00873343"/>
    <w:rsid w:val="00874DE1"/>
    <w:rsid w:val="00877743"/>
    <w:rsid w:val="0088275D"/>
    <w:rsid w:val="008875ED"/>
    <w:rsid w:val="0089206B"/>
    <w:rsid w:val="00894043"/>
    <w:rsid w:val="00894A66"/>
    <w:rsid w:val="00897986"/>
    <w:rsid w:val="00897A78"/>
    <w:rsid w:val="008A226B"/>
    <w:rsid w:val="008A2CA6"/>
    <w:rsid w:val="008A377B"/>
    <w:rsid w:val="008A4B0D"/>
    <w:rsid w:val="008B24F7"/>
    <w:rsid w:val="008B272C"/>
    <w:rsid w:val="008B4F88"/>
    <w:rsid w:val="008B5D44"/>
    <w:rsid w:val="008B64B4"/>
    <w:rsid w:val="008B653A"/>
    <w:rsid w:val="008B7A01"/>
    <w:rsid w:val="008C0B8D"/>
    <w:rsid w:val="008C0BDD"/>
    <w:rsid w:val="008C4545"/>
    <w:rsid w:val="008C5342"/>
    <w:rsid w:val="008C6857"/>
    <w:rsid w:val="008C7F44"/>
    <w:rsid w:val="008D509D"/>
    <w:rsid w:val="008E16E5"/>
    <w:rsid w:val="008E18A5"/>
    <w:rsid w:val="008E3186"/>
    <w:rsid w:val="008F2F80"/>
    <w:rsid w:val="008F4567"/>
    <w:rsid w:val="008F6D49"/>
    <w:rsid w:val="008F75F3"/>
    <w:rsid w:val="008F7C53"/>
    <w:rsid w:val="009027BA"/>
    <w:rsid w:val="00902EF6"/>
    <w:rsid w:val="0090347E"/>
    <w:rsid w:val="00904E60"/>
    <w:rsid w:val="0091258D"/>
    <w:rsid w:val="00913883"/>
    <w:rsid w:val="009138AD"/>
    <w:rsid w:val="009200D9"/>
    <w:rsid w:val="00920D68"/>
    <w:rsid w:val="009210A5"/>
    <w:rsid w:val="00923826"/>
    <w:rsid w:val="00925A63"/>
    <w:rsid w:val="0092683A"/>
    <w:rsid w:val="00927DB4"/>
    <w:rsid w:val="009319BE"/>
    <w:rsid w:val="00933CD3"/>
    <w:rsid w:val="00934C61"/>
    <w:rsid w:val="00936749"/>
    <w:rsid w:val="009430A2"/>
    <w:rsid w:val="009510EB"/>
    <w:rsid w:val="009559F6"/>
    <w:rsid w:val="00955CB9"/>
    <w:rsid w:val="009574E4"/>
    <w:rsid w:val="00957A34"/>
    <w:rsid w:val="00960B13"/>
    <w:rsid w:val="009637AD"/>
    <w:rsid w:val="00963C7A"/>
    <w:rsid w:val="0096630B"/>
    <w:rsid w:val="00966DBA"/>
    <w:rsid w:val="0096700A"/>
    <w:rsid w:val="0097309E"/>
    <w:rsid w:val="00973797"/>
    <w:rsid w:val="00973D6E"/>
    <w:rsid w:val="009825CB"/>
    <w:rsid w:val="00982EEB"/>
    <w:rsid w:val="00983A84"/>
    <w:rsid w:val="009840BB"/>
    <w:rsid w:val="009842AE"/>
    <w:rsid w:val="009853A0"/>
    <w:rsid w:val="00985D5D"/>
    <w:rsid w:val="009902DA"/>
    <w:rsid w:val="00994090"/>
    <w:rsid w:val="00997049"/>
    <w:rsid w:val="009A0F8A"/>
    <w:rsid w:val="009A2597"/>
    <w:rsid w:val="009A3909"/>
    <w:rsid w:val="009A44DA"/>
    <w:rsid w:val="009A5014"/>
    <w:rsid w:val="009A5CD5"/>
    <w:rsid w:val="009A6F18"/>
    <w:rsid w:val="009A7047"/>
    <w:rsid w:val="009B023C"/>
    <w:rsid w:val="009B1B7D"/>
    <w:rsid w:val="009C17D1"/>
    <w:rsid w:val="009C48E7"/>
    <w:rsid w:val="009D0FF7"/>
    <w:rsid w:val="009D2E2D"/>
    <w:rsid w:val="009D386D"/>
    <w:rsid w:val="009D704F"/>
    <w:rsid w:val="009D76E1"/>
    <w:rsid w:val="009E42D9"/>
    <w:rsid w:val="009F1D7F"/>
    <w:rsid w:val="009F2AC0"/>
    <w:rsid w:val="009F3367"/>
    <w:rsid w:val="009F5815"/>
    <w:rsid w:val="009F790C"/>
    <w:rsid w:val="00A0015C"/>
    <w:rsid w:val="00A0268E"/>
    <w:rsid w:val="00A02A69"/>
    <w:rsid w:val="00A02E3D"/>
    <w:rsid w:val="00A03FEC"/>
    <w:rsid w:val="00A04898"/>
    <w:rsid w:val="00A051DD"/>
    <w:rsid w:val="00A0656D"/>
    <w:rsid w:val="00A11015"/>
    <w:rsid w:val="00A13A5A"/>
    <w:rsid w:val="00A168D4"/>
    <w:rsid w:val="00A1754A"/>
    <w:rsid w:val="00A175B1"/>
    <w:rsid w:val="00A20EDC"/>
    <w:rsid w:val="00A23094"/>
    <w:rsid w:val="00A26B6D"/>
    <w:rsid w:val="00A30600"/>
    <w:rsid w:val="00A31B31"/>
    <w:rsid w:val="00A36A0A"/>
    <w:rsid w:val="00A42304"/>
    <w:rsid w:val="00A428A1"/>
    <w:rsid w:val="00A42DF0"/>
    <w:rsid w:val="00A50C39"/>
    <w:rsid w:val="00A52A63"/>
    <w:rsid w:val="00A6155E"/>
    <w:rsid w:val="00A61C35"/>
    <w:rsid w:val="00A632A2"/>
    <w:rsid w:val="00A64514"/>
    <w:rsid w:val="00A6460F"/>
    <w:rsid w:val="00A64849"/>
    <w:rsid w:val="00A66860"/>
    <w:rsid w:val="00A70C19"/>
    <w:rsid w:val="00A75521"/>
    <w:rsid w:val="00A7600A"/>
    <w:rsid w:val="00A77D2F"/>
    <w:rsid w:val="00A8192B"/>
    <w:rsid w:val="00A83C0E"/>
    <w:rsid w:val="00A83E9C"/>
    <w:rsid w:val="00A9092D"/>
    <w:rsid w:val="00A91729"/>
    <w:rsid w:val="00A91CA1"/>
    <w:rsid w:val="00A92000"/>
    <w:rsid w:val="00A9505C"/>
    <w:rsid w:val="00A97E01"/>
    <w:rsid w:val="00AA0F97"/>
    <w:rsid w:val="00AA370E"/>
    <w:rsid w:val="00AA3FF0"/>
    <w:rsid w:val="00AA4CA3"/>
    <w:rsid w:val="00AA4EEF"/>
    <w:rsid w:val="00AA5B7A"/>
    <w:rsid w:val="00AA65E8"/>
    <w:rsid w:val="00AB08CC"/>
    <w:rsid w:val="00AB23BD"/>
    <w:rsid w:val="00AB7349"/>
    <w:rsid w:val="00AC07F5"/>
    <w:rsid w:val="00AC1148"/>
    <w:rsid w:val="00AC2FE8"/>
    <w:rsid w:val="00AC3473"/>
    <w:rsid w:val="00AC34D2"/>
    <w:rsid w:val="00AC3C4E"/>
    <w:rsid w:val="00AC529C"/>
    <w:rsid w:val="00AC5350"/>
    <w:rsid w:val="00AC65AB"/>
    <w:rsid w:val="00AC7718"/>
    <w:rsid w:val="00AD0346"/>
    <w:rsid w:val="00AD070F"/>
    <w:rsid w:val="00AD0CDC"/>
    <w:rsid w:val="00AD11D8"/>
    <w:rsid w:val="00AD166E"/>
    <w:rsid w:val="00AD3594"/>
    <w:rsid w:val="00AD5ADB"/>
    <w:rsid w:val="00AD68F4"/>
    <w:rsid w:val="00AE0134"/>
    <w:rsid w:val="00AE081F"/>
    <w:rsid w:val="00AE11FB"/>
    <w:rsid w:val="00AE1406"/>
    <w:rsid w:val="00AE1AE3"/>
    <w:rsid w:val="00AE3426"/>
    <w:rsid w:val="00AE3FED"/>
    <w:rsid w:val="00AE5368"/>
    <w:rsid w:val="00AE59CE"/>
    <w:rsid w:val="00AE6189"/>
    <w:rsid w:val="00AE63D3"/>
    <w:rsid w:val="00AE6A08"/>
    <w:rsid w:val="00AE74E7"/>
    <w:rsid w:val="00AE77DB"/>
    <w:rsid w:val="00AE7B9E"/>
    <w:rsid w:val="00AF0054"/>
    <w:rsid w:val="00AF2CA1"/>
    <w:rsid w:val="00AF3E48"/>
    <w:rsid w:val="00AF492C"/>
    <w:rsid w:val="00AF4BC5"/>
    <w:rsid w:val="00AF508A"/>
    <w:rsid w:val="00AF5928"/>
    <w:rsid w:val="00AF5933"/>
    <w:rsid w:val="00AF5C22"/>
    <w:rsid w:val="00B06B9A"/>
    <w:rsid w:val="00B06C86"/>
    <w:rsid w:val="00B13B1B"/>
    <w:rsid w:val="00B17E2F"/>
    <w:rsid w:val="00B20FBF"/>
    <w:rsid w:val="00B2171E"/>
    <w:rsid w:val="00B24D95"/>
    <w:rsid w:val="00B2570B"/>
    <w:rsid w:val="00B257A5"/>
    <w:rsid w:val="00B40B34"/>
    <w:rsid w:val="00B4332F"/>
    <w:rsid w:val="00B44E76"/>
    <w:rsid w:val="00B454A3"/>
    <w:rsid w:val="00B459FC"/>
    <w:rsid w:val="00B467FA"/>
    <w:rsid w:val="00B50D94"/>
    <w:rsid w:val="00B5149E"/>
    <w:rsid w:val="00B53744"/>
    <w:rsid w:val="00B54EE3"/>
    <w:rsid w:val="00B55284"/>
    <w:rsid w:val="00B60F14"/>
    <w:rsid w:val="00B6209F"/>
    <w:rsid w:val="00B64358"/>
    <w:rsid w:val="00B66AC8"/>
    <w:rsid w:val="00B73DAB"/>
    <w:rsid w:val="00B83879"/>
    <w:rsid w:val="00B8586C"/>
    <w:rsid w:val="00B8656F"/>
    <w:rsid w:val="00B86C58"/>
    <w:rsid w:val="00B9419A"/>
    <w:rsid w:val="00B94517"/>
    <w:rsid w:val="00B96B5C"/>
    <w:rsid w:val="00B96E9A"/>
    <w:rsid w:val="00BA238F"/>
    <w:rsid w:val="00BA3B3E"/>
    <w:rsid w:val="00BA5A8D"/>
    <w:rsid w:val="00BA71DD"/>
    <w:rsid w:val="00BA75BB"/>
    <w:rsid w:val="00BA7721"/>
    <w:rsid w:val="00BB2745"/>
    <w:rsid w:val="00BB2BA1"/>
    <w:rsid w:val="00BB7FFB"/>
    <w:rsid w:val="00BC0BDC"/>
    <w:rsid w:val="00BC1D6E"/>
    <w:rsid w:val="00BC289B"/>
    <w:rsid w:val="00BC38B6"/>
    <w:rsid w:val="00BC5162"/>
    <w:rsid w:val="00BC659C"/>
    <w:rsid w:val="00BC6BE4"/>
    <w:rsid w:val="00BC719A"/>
    <w:rsid w:val="00BD2262"/>
    <w:rsid w:val="00BD283A"/>
    <w:rsid w:val="00BD3287"/>
    <w:rsid w:val="00BD33E2"/>
    <w:rsid w:val="00BD3512"/>
    <w:rsid w:val="00BD5475"/>
    <w:rsid w:val="00BD58C8"/>
    <w:rsid w:val="00BD5E7C"/>
    <w:rsid w:val="00BD6B57"/>
    <w:rsid w:val="00BD6D50"/>
    <w:rsid w:val="00BD70FA"/>
    <w:rsid w:val="00BE013F"/>
    <w:rsid w:val="00BE1C28"/>
    <w:rsid w:val="00BE4C2A"/>
    <w:rsid w:val="00BE5DB7"/>
    <w:rsid w:val="00BF3458"/>
    <w:rsid w:val="00BF7ECC"/>
    <w:rsid w:val="00C01D96"/>
    <w:rsid w:val="00C0322E"/>
    <w:rsid w:val="00C07340"/>
    <w:rsid w:val="00C074A9"/>
    <w:rsid w:val="00C07813"/>
    <w:rsid w:val="00C07D60"/>
    <w:rsid w:val="00C1246A"/>
    <w:rsid w:val="00C12700"/>
    <w:rsid w:val="00C13DC0"/>
    <w:rsid w:val="00C1436C"/>
    <w:rsid w:val="00C146DA"/>
    <w:rsid w:val="00C15260"/>
    <w:rsid w:val="00C22724"/>
    <w:rsid w:val="00C24327"/>
    <w:rsid w:val="00C24F90"/>
    <w:rsid w:val="00C3141E"/>
    <w:rsid w:val="00C32415"/>
    <w:rsid w:val="00C324C3"/>
    <w:rsid w:val="00C34C91"/>
    <w:rsid w:val="00C351E9"/>
    <w:rsid w:val="00C44B83"/>
    <w:rsid w:val="00C510A1"/>
    <w:rsid w:val="00C5378B"/>
    <w:rsid w:val="00C54433"/>
    <w:rsid w:val="00C57CDC"/>
    <w:rsid w:val="00C6007A"/>
    <w:rsid w:val="00C617FB"/>
    <w:rsid w:val="00C620D7"/>
    <w:rsid w:val="00C74513"/>
    <w:rsid w:val="00C76FA9"/>
    <w:rsid w:val="00C7710F"/>
    <w:rsid w:val="00C805E0"/>
    <w:rsid w:val="00C8249E"/>
    <w:rsid w:val="00C82B16"/>
    <w:rsid w:val="00C83046"/>
    <w:rsid w:val="00C83096"/>
    <w:rsid w:val="00C8496E"/>
    <w:rsid w:val="00C852B4"/>
    <w:rsid w:val="00C86F64"/>
    <w:rsid w:val="00C9046F"/>
    <w:rsid w:val="00C907E4"/>
    <w:rsid w:val="00C91730"/>
    <w:rsid w:val="00C9237D"/>
    <w:rsid w:val="00C973CD"/>
    <w:rsid w:val="00CA0EA0"/>
    <w:rsid w:val="00CA2EBC"/>
    <w:rsid w:val="00CA3C72"/>
    <w:rsid w:val="00CB306F"/>
    <w:rsid w:val="00CB4437"/>
    <w:rsid w:val="00CC046E"/>
    <w:rsid w:val="00CC6349"/>
    <w:rsid w:val="00CD0134"/>
    <w:rsid w:val="00CD2E70"/>
    <w:rsid w:val="00CD7C43"/>
    <w:rsid w:val="00CE6961"/>
    <w:rsid w:val="00CE7ACB"/>
    <w:rsid w:val="00CF1768"/>
    <w:rsid w:val="00CF53AD"/>
    <w:rsid w:val="00CF5A5B"/>
    <w:rsid w:val="00CF5C36"/>
    <w:rsid w:val="00CF7F67"/>
    <w:rsid w:val="00D009F4"/>
    <w:rsid w:val="00D01AA4"/>
    <w:rsid w:val="00D039E9"/>
    <w:rsid w:val="00D055D0"/>
    <w:rsid w:val="00D065E1"/>
    <w:rsid w:val="00D0767E"/>
    <w:rsid w:val="00D11B31"/>
    <w:rsid w:val="00D1340D"/>
    <w:rsid w:val="00D14E5E"/>
    <w:rsid w:val="00D15612"/>
    <w:rsid w:val="00D1580D"/>
    <w:rsid w:val="00D16AA9"/>
    <w:rsid w:val="00D17277"/>
    <w:rsid w:val="00D17705"/>
    <w:rsid w:val="00D2175A"/>
    <w:rsid w:val="00D21A9F"/>
    <w:rsid w:val="00D250EF"/>
    <w:rsid w:val="00D26FFC"/>
    <w:rsid w:val="00D366D4"/>
    <w:rsid w:val="00D36D8A"/>
    <w:rsid w:val="00D37603"/>
    <w:rsid w:val="00D453A3"/>
    <w:rsid w:val="00D46508"/>
    <w:rsid w:val="00D4763F"/>
    <w:rsid w:val="00D50633"/>
    <w:rsid w:val="00D517A7"/>
    <w:rsid w:val="00D544DB"/>
    <w:rsid w:val="00D5514B"/>
    <w:rsid w:val="00D553B7"/>
    <w:rsid w:val="00D600A8"/>
    <w:rsid w:val="00D63382"/>
    <w:rsid w:val="00D65628"/>
    <w:rsid w:val="00D70D6A"/>
    <w:rsid w:val="00D73594"/>
    <w:rsid w:val="00D7470B"/>
    <w:rsid w:val="00D7574C"/>
    <w:rsid w:val="00D77A8B"/>
    <w:rsid w:val="00D80B9E"/>
    <w:rsid w:val="00D81066"/>
    <w:rsid w:val="00D814A4"/>
    <w:rsid w:val="00D85605"/>
    <w:rsid w:val="00D86F97"/>
    <w:rsid w:val="00D90683"/>
    <w:rsid w:val="00D910BE"/>
    <w:rsid w:val="00D92F4B"/>
    <w:rsid w:val="00D94E1C"/>
    <w:rsid w:val="00D969B1"/>
    <w:rsid w:val="00DA1AF7"/>
    <w:rsid w:val="00DA28ED"/>
    <w:rsid w:val="00DA464D"/>
    <w:rsid w:val="00DA6044"/>
    <w:rsid w:val="00DA69E4"/>
    <w:rsid w:val="00DA6F4F"/>
    <w:rsid w:val="00DA7498"/>
    <w:rsid w:val="00DA7898"/>
    <w:rsid w:val="00DB0D97"/>
    <w:rsid w:val="00DB23A0"/>
    <w:rsid w:val="00DB4437"/>
    <w:rsid w:val="00DB4ED7"/>
    <w:rsid w:val="00DB6202"/>
    <w:rsid w:val="00DB6C17"/>
    <w:rsid w:val="00DC46DF"/>
    <w:rsid w:val="00DC4731"/>
    <w:rsid w:val="00DC4F66"/>
    <w:rsid w:val="00DD0E9C"/>
    <w:rsid w:val="00DD17C3"/>
    <w:rsid w:val="00DD2C54"/>
    <w:rsid w:val="00DD40B3"/>
    <w:rsid w:val="00DD4542"/>
    <w:rsid w:val="00DD49FB"/>
    <w:rsid w:val="00DD6812"/>
    <w:rsid w:val="00DD729E"/>
    <w:rsid w:val="00DD7486"/>
    <w:rsid w:val="00DD7D32"/>
    <w:rsid w:val="00DE3F5B"/>
    <w:rsid w:val="00DE41C2"/>
    <w:rsid w:val="00DF0317"/>
    <w:rsid w:val="00DF0E57"/>
    <w:rsid w:val="00DF2864"/>
    <w:rsid w:val="00DF35C2"/>
    <w:rsid w:val="00DF3C28"/>
    <w:rsid w:val="00DF4BEB"/>
    <w:rsid w:val="00DF6A8F"/>
    <w:rsid w:val="00DF7E7F"/>
    <w:rsid w:val="00DF7F32"/>
    <w:rsid w:val="00E00DA7"/>
    <w:rsid w:val="00E02E43"/>
    <w:rsid w:val="00E044F0"/>
    <w:rsid w:val="00E05AFE"/>
    <w:rsid w:val="00E05DCF"/>
    <w:rsid w:val="00E06462"/>
    <w:rsid w:val="00E0715E"/>
    <w:rsid w:val="00E1255D"/>
    <w:rsid w:val="00E14849"/>
    <w:rsid w:val="00E14D1F"/>
    <w:rsid w:val="00E2288E"/>
    <w:rsid w:val="00E22E8B"/>
    <w:rsid w:val="00E2361E"/>
    <w:rsid w:val="00E240BC"/>
    <w:rsid w:val="00E24823"/>
    <w:rsid w:val="00E27001"/>
    <w:rsid w:val="00E27BA9"/>
    <w:rsid w:val="00E34984"/>
    <w:rsid w:val="00E3524B"/>
    <w:rsid w:val="00E35FD2"/>
    <w:rsid w:val="00E4205F"/>
    <w:rsid w:val="00E42344"/>
    <w:rsid w:val="00E43D8C"/>
    <w:rsid w:val="00E468CD"/>
    <w:rsid w:val="00E50C7F"/>
    <w:rsid w:val="00E54765"/>
    <w:rsid w:val="00E56D31"/>
    <w:rsid w:val="00E60375"/>
    <w:rsid w:val="00E6060D"/>
    <w:rsid w:val="00E616C1"/>
    <w:rsid w:val="00E620DB"/>
    <w:rsid w:val="00E62441"/>
    <w:rsid w:val="00E63682"/>
    <w:rsid w:val="00E642FF"/>
    <w:rsid w:val="00E66722"/>
    <w:rsid w:val="00E67101"/>
    <w:rsid w:val="00E673A3"/>
    <w:rsid w:val="00E67682"/>
    <w:rsid w:val="00E676B0"/>
    <w:rsid w:val="00E70950"/>
    <w:rsid w:val="00E70BCA"/>
    <w:rsid w:val="00E70C41"/>
    <w:rsid w:val="00E71FBF"/>
    <w:rsid w:val="00E7482A"/>
    <w:rsid w:val="00E75DB8"/>
    <w:rsid w:val="00E764C2"/>
    <w:rsid w:val="00E7762C"/>
    <w:rsid w:val="00E81954"/>
    <w:rsid w:val="00E81C40"/>
    <w:rsid w:val="00E84BFD"/>
    <w:rsid w:val="00E86173"/>
    <w:rsid w:val="00E8735C"/>
    <w:rsid w:val="00E90CDB"/>
    <w:rsid w:val="00E942F2"/>
    <w:rsid w:val="00E94A52"/>
    <w:rsid w:val="00E94BAA"/>
    <w:rsid w:val="00E97D4E"/>
    <w:rsid w:val="00E97EF7"/>
    <w:rsid w:val="00EA1640"/>
    <w:rsid w:val="00EA1A77"/>
    <w:rsid w:val="00EA41C6"/>
    <w:rsid w:val="00EA64E0"/>
    <w:rsid w:val="00EA71FC"/>
    <w:rsid w:val="00EB0128"/>
    <w:rsid w:val="00EB4366"/>
    <w:rsid w:val="00EC21E8"/>
    <w:rsid w:val="00EC4780"/>
    <w:rsid w:val="00EC5B03"/>
    <w:rsid w:val="00EC67BA"/>
    <w:rsid w:val="00ED1148"/>
    <w:rsid w:val="00ED1FF8"/>
    <w:rsid w:val="00ED2C64"/>
    <w:rsid w:val="00ED78AB"/>
    <w:rsid w:val="00EE0040"/>
    <w:rsid w:val="00EE0E72"/>
    <w:rsid w:val="00EE1E7D"/>
    <w:rsid w:val="00EE2629"/>
    <w:rsid w:val="00EE2BF9"/>
    <w:rsid w:val="00EE3A1E"/>
    <w:rsid w:val="00EE6622"/>
    <w:rsid w:val="00EE7A5F"/>
    <w:rsid w:val="00EF07AF"/>
    <w:rsid w:val="00EF092E"/>
    <w:rsid w:val="00EF2127"/>
    <w:rsid w:val="00EF57DF"/>
    <w:rsid w:val="00EF7FF4"/>
    <w:rsid w:val="00F00276"/>
    <w:rsid w:val="00F00E3D"/>
    <w:rsid w:val="00F00FBD"/>
    <w:rsid w:val="00F012FA"/>
    <w:rsid w:val="00F043FC"/>
    <w:rsid w:val="00F04AC4"/>
    <w:rsid w:val="00F04EE0"/>
    <w:rsid w:val="00F123F9"/>
    <w:rsid w:val="00F126D2"/>
    <w:rsid w:val="00F142BA"/>
    <w:rsid w:val="00F20A9B"/>
    <w:rsid w:val="00F20C46"/>
    <w:rsid w:val="00F30694"/>
    <w:rsid w:val="00F32830"/>
    <w:rsid w:val="00F3686B"/>
    <w:rsid w:val="00F41481"/>
    <w:rsid w:val="00F421CF"/>
    <w:rsid w:val="00F43496"/>
    <w:rsid w:val="00F43CCE"/>
    <w:rsid w:val="00F43F3B"/>
    <w:rsid w:val="00F4474F"/>
    <w:rsid w:val="00F47CF0"/>
    <w:rsid w:val="00F50E77"/>
    <w:rsid w:val="00F52F78"/>
    <w:rsid w:val="00F55CC8"/>
    <w:rsid w:val="00F57996"/>
    <w:rsid w:val="00F601FC"/>
    <w:rsid w:val="00F725B5"/>
    <w:rsid w:val="00F76F6B"/>
    <w:rsid w:val="00F77F2F"/>
    <w:rsid w:val="00F80F9A"/>
    <w:rsid w:val="00F81552"/>
    <w:rsid w:val="00F834D7"/>
    <w:rsid w:val="00F836E8"/>
    <w:rsid w:val="00F83D30"/>
    <w:rsid w:val="00F8496D"/>
    <w:rsid w:val="00F86533"/>
    <w:rsid w:val="00F91388"/>
    <w:rsid w:val="00F91544"/>
    <w:rsid w:val="00F93FF5"/>
    <w:rsid w:val="00F94C05"/>
    <w:rsid w:val="00F955DA"/>
    <w:rsid w:val="00FA0285"/>
    <w:rsid w:val="00FA0B02"/>
    <w:rsid w:val="00FA3D2B"/>
    <w:rsid w:val="00FA6760"/>
    <w:rsid w:val="00FA79ED"/>
    <w:rsid w:val="00FB01B3"/>
    <w:rsid w:val="00FB245C"/>
    <w:rsid w:val="00FB3DDB"/>
    <w:rsid w:val="00FC1868"/>
    <w:rsid w:val="00FC1F0B"/>
    <w:rsid w:val="00FC32BF"/>
    <w:rsid w:val="00FC4B3F"/>
    <w:rsid w:val="00FC5099"/>
    <w:rsid w:val="00FC6DE3"/>
    <w:rsid w:val="00FC7193"/>
    <w:rsid w:val="00FD1EA1"/>
    <w:rsid w:val="00FE052E"/>
    <w:rsid w:val="00FE229F"/>
    <w:rsid w:val="00FE25B6"/>
    <w:rsid w:val="00FE42E7"/>
    <w:rsid w:val="00FE71E0"/>
    <w:rsid w:val="00FF0030"/>
    <w:rsid w:val="00FF3498"/>
    <w:rsid w:val="00FF5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5D5331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customStyle="1" w:styleId="ConsPlusNonformat">
    <w:name w:val="ConsPlusNonformat"/>
    <w:uiPriority w:val="99"/>
    <w:rsid w:val="005D533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5D5331"/>
    <w:pPr>
      <w:widowControl w:val="0"/>
      <w:autoSpaceDE w:val="0"/>
      <w:autoSpaceDN w:val="0"/>
      <w:adjustRightInd w:val="0"/>
      <w:spacing w:after="0" w:line="240" w:lineRule="auto"/>
    </w:pPr>
    <w:rPr>
      <w:b/>
      <w:bCs/>
      <w:sz w:val="24"/>
      <w:szCs w:val="24"/>
    </w:rPr>
  </w:style>
  <w:style w:type="paragraph" w:customStyle="1" w:styleId="ConsPlusCell">
    <w:name w:val="ConsPlusCell"/>
    <w:uiPriority w:val="99"/>
    <w:rsid w:val="005D5331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91C889460AF5C03477F88D26BBA62D85BEAAD964DF5D213BE976061B0D2177A3D52276B9D5BDACFM" TargetMode="External"/><Relationship Id="rId13" Type="http://schemas.openxmlformats.org/officeDocument/2006/relationships/hyperlink" Target="consultantplus://offline/ref=891C889460AF5C03477F88D26BBA62D85BEAAF9F48F0D213BE976061B0D2177A3D52276B9858A9F8D9CBM" TargetMode="External"/><Relationship Id="rId18" Type="http://schemas.openxmlformats.org/officeDocument/2006/relationships/image" Target="media/image2.wmf"/><Relationship Id="rId3" Type="http://schemas.openxmlformats.org/officeDocument/2006/relationships/webSettings" Target="webSettings.xml"/><Relationship Id="rId21" Type="http://schemas.openxmlformats.org/officeDocument/2006/relationships/image" Target="media/image5.wmf"/><Relationship Id="rId7" Type="http://schemas.openxmlformats.org/officeDocument/2006/relationships/hyperlink" Target="consultantplus://offline/ref=891C889460AF5C03477F88D26BBA62D85BEAAD964DF5D213BE976061B0D2177A3D52276B9D58DAC6M" TargetMode="External"/><Relationship Id="rId12" Type="http://schemas.openxmlformats.org/officeDocument/2006/relationships/hyperlink" Target="consultantplus://offline/ref=891C889460AF5C03477F88D26BBA62D85BEAAD964DF5D213BE976061B0D2177A3D52276B9D5BDACBM" TargetMode="External"/><Relationship Id="rId17" Type="http://schemas.openxmlformats.org/officeDocument/2006/relationships/image" Target="media/image1.wmf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891C889460AF5C03477F88D26BBA62D85BEAAD964DF5D213BE976061B0D2177A3D52276B9D5BDACCM" TargetMode="External"/><Relationship Id="rId20" Type="http://schemas.openxmlformats.org/officeDocument/2006/relationships/image" Target="media/image4.wmf"/><Relationship Id="rId1" Type="http://schemas.openxmlformats.org/officeDocument/2006/relationships/styles" Target="styles.xml"/><Relationship Id="rId6" Type="http://schemas.openxmlformats.org/officeDocument/2006/relationships/hyperlink" Target="consultantplus://offline/ref=891C889460AF5C03477F88D26BBA62D85BEAAD964DF5D213BE976061B0D2177A3D52276B9D5BDACFM" TargetMode="External"/><Relationship Id="rId11" Type="http://schemas.openxmlformats.org/officeDocument/2006/relationships/hyperlink" Target="consultantplus://offline/ref=891C889460AF5C03477F88D26BBA62D85BEAAD964DF5D213BE976061B0D2177A3D52276B9D5BDACCM" TargetMode="External"/><Relationship Id="rId24" Type="http://schemas.openxmlformats.org/officeDocument/2006/relationships/theme" Target="theme/theme1.xml"/><Relationship Id="rId5" Type="http://schemas.openxmlformats.org/officeDocument/2006/relationships/hyperlink" Target="consultantplus://offline/ref=891C889460AF5C03477F88D26BBA62D85BEAAD964DF5D213BE976061B0D2177A3D52276B9D58DAC6M" TargetMode="External"/><Relationship Id="rId15" Type="http://schemas.openxmlformats.org/officeDocument/2006/relationships/hyperlink" Target="consultantplus://offline/ref=891C889460AF5C03477F88D26BBA62D85BEAAD964DF5D213BE976061B0D2177A3D52276B9D5BDAC8M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891C889460AF5C03477F88D26BBA62D85BEAAD964DF5D213BE976061B0D2177A3D52276B9D5BDACFM" TargetMode="External"/><Relationship Id="rId19" Type="http://schemas.openxmlformats.org/officeDocument/2006/relationships/image" Target="media/image3.wmf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891C889460AF5C03477F88D26BBA62D85BEAAD964DF5D213BE976061B0D2177A3D52276B9D58DAC6M" TargetMode="External"/><Relationship Id="rId14" Type="http://schemas.openxmlformats.org/officeDocument/2006/relationships/hyperlink" Target="consultantplus://offline/ref=891C889460AF5C03477F88D26BBA62D85BE9AF9D4CF4D213BE976061B0D2177A3D52276B9CD5CEM" TargetMode="External"/><Relationship Id="rId22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2601</Words>
  <Characters>14829</Characters>
  <Application>Microsoft Office Word</Application>
  <DocSecurity>0</DocSecurity>
  <Lines>123</Lines>
  <Paragraphs>34</Paragraphs>
  <ScaleCrop>false</ScaleCrop>
  <Company>Rostelecom</Company>
  <LinksUpToDate>false</LinksUpToDate>
  <CharactersWithSpaces>17396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 предоставлен КонсультантПлюс</dc:title>
  <dc:creator>Full Name</dc:creator>
  <cp:lastModifiedBy>Дмитрий Виноградов</cp:lastModifiedBy>
  <cp:revision>2</cp:revision>
  <dcterms:created xsi:type="dcterms:W3CDTF">2014-09-03T17:17:00Z</dcterms:created>
  <dcterms:modified xsi:type="dcterms:W3CDTF">2014-09-03T17:17:00Z</dcterms:modified>
</cp:coreProperties>
</file>