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6B63"/>
          <w:sz w:val="34"/>
        </w:rPr>
        <w:t>KHOJO RIGHT NOW PRIVATE LIMITED</w:t>
      </w:r>
    </w:p>
    <w:p>
      <w:pPr>
        <w:spacing w:after="0"/>
        <w:jc w:val="center"/>
      </w:pPr>
      <w:r>
        <w:rPr>
          <w:b w:val="0"/>
          <w:sz w:val="19"/>
        </w:rPr>
        <w:t>F-50, P. NO.-3, Balaji Tower-1, Vidhayadhar Nagar, Jaipur (302039), Rajasthan</w:t>
      </w:r>
    </w:p>
    <w:p>
      <w:pPr>
        <w:spacing w:after="0"/>
        <w:jc w:val="center"/>
      </w:pPr>
      <w:r>
        <w:rPr>
          <w:b w:val="0"/>
          <w:sz w:val="19"/>
        </w:rPr>
        <w:t>MSME: UDYAM-RJ-17-0324498   |   GSTIN/UIN: 08AAICK9332N1ZW</w:t>
      </w:r>
    </w:p>
    <w:p>
      <w:pPr>
        <w:spacing w:after="0"/>
        <w:jc w:val="center"/>
      </w:pPr>
      <w:r>
        <w:rPr>
          <w:b w:val="0"/>
          <w:sz w:val="19"/>
        </w:rPr>
        <w:t>State Name: Rajasthan, Code: 08   |   CIN: U74999RJ2021PTC076230</w:t>
      </w:r>
    </w:p>
    <w:p>
      <w:pPr>
        <w:spacing w:after="0"/>
        <w:jc w:val="center"/>
      </w:pPr>
      <w:r>
        <w:rPr>
          <w:b w:val="0"/>
          <w:sz w:val="19"/>
        </w:rPr>
        <w:t>E-Mail: khojorightnow@gmail.com</w:t>
      </w:r>
    </w:p>
    <w:p>
      <w:pPr>
        <w:spacing w:after="120"/>
        <w:pBdr>
          <w:bottom w:val="single" w:sz="18" w:color="0F6B63" w:space="1"/>
        </w:pBdr>
      </w:pPr>
      <w:r>
        <w:rPr>
          <w:b w:val="0"/>
        </w:rPr>
      </w:r>
    </w:p>
    <w:p>
      <w:pPr>
        <w:spacing w:after="40" w:before="80"/>
        <w:jc w:val="center"/>
      </w:pPr>
      <w:r>
        <w:rPr>
          <w:b/>
          <w:color w:val="0F6B63"/>
          <w:sz w:val="32"/>
        </w:rPr>
        <w:t>QUOTATION</w:t>
      </w:r>
    </w:p>
    <w:p>
      <w:pPr>
        <w:spacing w:after="160"/>
        <w:jc w:val="center"/>
      </w:pPr>
      <w:r>
        <w:rPr>
          <w:b/>
          <w:sz w:val="23"/>
        </w:rPr>
        <w:t>Managed PostgreSQL Database Infrastructure &amp; AppSheet Connectivity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FB3AE"/>
          <w:left w:val="single" w:sz="4" w:color="8FB3AE"/>
          <w:bottom w:val="single" w:sz="4" w:color="8FB3AE"/>
          <w:right w:val="single" w:sz="4" w:color="8FB3AE"/>
          <w:insideH w:val="single" w:sz="4" w:color="8FB3AE"/>
          <w:insideV w:val="single" w:sz="4" w:color="8FB3A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1814"/>
        <w:gridCol w:w="3005"/>
        <w:gridCol w:w="1814"/>
        <w:gridCol w:w="3005"/>
      </w:tblGrid>
      <w:tr>
        <w:trPr>
          <w:cantSplit/>
        </w:trPr>
        <w:tc>
          <w:tcPr>
            <w:tcW w:type="dxa" w:w="1814"/>
            <w:shd w:val="clear" w:color="auto" w:fill="E3F1EF"/>
          </w:tcPr>
          <w:p>
            <w:pPr>
              <w:spacing w:after="0"/>
            </w:pPr>
            <w:r>
              <w:rPr>
                <w:b/>
                <w:color w:val="0F6B63"/>
              </w:rPr>
              <w:t>Quotation No.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KRN/QT/2026-27/001</w:t>
            </w:r>
          </w:p>
        </w:tc>
        <w:tc>
          <w:tcPr>
            <w:tcW w:type="dxa" w:w="1814"/>
            <w:shd w:val="clear" w:color="auto" w:fill="E3F1EF"/>
          </w:tcPr>
          <w:p>
            <w:pPr>
              <w:spacing w:after="0"/>
            </w:pPr>
            <w:r>
              <w:rPr>
                <w:b/>
                <w:color w:val="0F6B63"/>
              </w:rPr>
              <w:t>Quotation Date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15 October 2026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3F1EF"/>
          </w:tcPr>
          <w:p>
            <w:pPr>
              <w:spacing w:after="0"/>
            </w:pPr>
            <w:r>
              <w:rPr>
                <w:b/>
                <w:color w:val="0F6B63"/>
              </w:rPr>
              <w:t>Valid Until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30 October 2026 (15 days)</w:t>
            </w:r>
          </w:p>
        </w:tc>
        <w:tc>
          <w:tcPr>
            <w:tcW w:type="dxa" w:w="1814"/>
            <w:shd w:val="clear" w:color="auto" w:fill="E3F1EF"/>
          </w:tcPr>
          <w:p>
            <w:pPr>
              <w:spacing w:after="0"/>
            </w:pPr>
            <w:r>
              <w:rPr>
                <w:b/>
                <w:color w:val="0F6B63"/>
              </w:rPr>
              <w:t>Place of Supply</w:t>
            </w:r>
          </w:p>
        </w:tc>
        <w:tc>
          <w:tcPr>
            <w:tcW w:type="dxa" w:w="3005"/>
          </w:tcPr>
          <w:p>
            <w:pPr>
              <w:spacing w:after="0"/>
            </w:pPr>
            <w:r>
              <w:rPr>
                <w:b w:val="0"/>
              </w:rPr>
              <w:t>Rajasthan (Code: 08)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3F1EF"/>
          </w:tcPr>
          <w:p>
            <w:pPr>
              <w:spacing w:after="0"/>
            </w:pPr>
            <w:r>
              <w:rPr>
                <w:b/>
                <w:color w:val="0F6B63"/>
              </w:rPr>
              <w:t>Quoted To</w:t>
            </w:r>
          </w:p>
        </w:tc>
        <w:tc>
          <w:tcPr>
            <w:tcW w:type="dxa" w:w="7824"/>
            <w:gridSpan w:val="3"/>
          </w:tcPr>
          <w:p>
            <w:pPr>
              <w:spacing w:after="0"/>
            </w:pPr>
            <w:r>
              <w:rPr>
                <w:b w:val="0"/>
              </w:rPr>
              <w:t>Manjari Foundation</w:t>
              <w:br/>
              <w:t>1/364, Saipau Rd, Mahamadpur, Anand Nagar, Dholpur, Rajasthan 328001</w:t>
            </w:r>
          </w:p>
        </w:tc>
      </w:tr>
    </w:tbl>
    <w:p>
      <w:pPr>
        <w:keepNext/>
        <w:spacing w:after="80" w:before="200"/>
        <w:pBdr>
          <w:bottom w:val="single" w:sz="6" w:color="0F6B63" w:space="1"/>
        </w:pBdr>
      </w:pPr>
      <w:r>
        <w:rPr>
          <w:b/>
          <w:color w:val="0F6B63"/>
          <w:sz w:val="22"/>
        </w:rPr>
        <w:t>1. SCOPE OF SERVICES</w:t>
      </w:r>
    </w:p>
    <w:p>
      <w:pPr>
        <w:pStyle w:val="ListBullet"/>
        <w:spacing w:after="60"/>
      </w:pPr>
      <w:r>
        <w:t>Managed PostgreSQL database hosting and administration on cloud infrastructure managed by the service provider.</w:t>
      </w:r>
    </w:p>
    <w:p>
      <w:pPr>
        <w:pStyle w:val="ListBullet"/>
        <w:spacing w:after="60"/>
      </w:pPr>
      <w:r>
        <w:t>Separate production and development/testing environments.</w:t>
      </w:r>
    </w:p>
    <w:p>
      <w:pPr>
        <w:pStyle w:val="ListBullet"/>
        <w:spacing w:after="60"/>
      </w:pPr>
      <w:r>
        <w:t>AppSheet PostgreSQL data-source configuration and secure SSL/TLS connectivity.</w:t>
      </w:r>
    </w:p>
    <w:p>
      <w:pPr>
        <w:pStyle w:val="ListBullet"/>
        <w:spacing w:after="60"/>
      </w:pPr>
      <w:r>
        <w:t>Database/schema setup, application access roles and secure credential handling.</w:t>
      </w:r>
    </w:p>
    <w:p>
      <w:pPr>
        <w:pStyle w:val="ListBullet"/>
        <w:spacing w:after="60"/>
      </w:pPr>
      <w:r>
        <w:t>Backup and recovery configuration.</w:t>
      </w:r>
    </w:p>
    <w:p>
      <w:pPr>
        <w:pStyle w:val="ListBullet"/>
        <w:spacing w:after="60"/>
      </w:pPr>
      <w:r>
        <w:t>Routine database health checks, basic performance monitoring and connectivity troubleshooting.</w:t>
      </w:r>
    </w:p>
    <w:p>
      <w:pPr>
        <w:pStyle w:val="ListBullet"/>
        <w:spacing w:after="60"/>
      </w:pPr>
      <w:r>
        <w:t>Configuration documentation and technical handover to the client's nominated administrator.</w:t>
      </w:r>
    </w:p>
    <w:p>
      <w:pPr>
        <w:keepNext/>
        <w:spacing w:after="80" w:before="200"/>
        <w:pBdr>
          <w:bottom w:val="single" w:sz="6" w:color="0F6B63" w:space="1"/>
        </w:pBdr>
      </w:pPr>
      <w:r>
        <w:rPr>
          <w:b/>
          <w:color w:val="0F6B63"/>
          <w:sz w:val="22"/>
        </w:rPr>
        <w:t>2. COMMERCIAL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FB3AE"/>
          <w:left w:val="single" w:sz="4" w:color="8FB3AE"/>
          <w:bottom w:val="single" w:sz="4" w:color="8FB3AE"/>
          <w:right w:val="single" w:sz="4" w:color="8FB3AE"/>
          <w:insideH w:val="single" w:sz="4" w:color="8FB3AE"/>
          <w:insideV w:val="single" w:sz="4" w:color="8FB3A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794"/>
        <w:gridCol w:w="6293"/>
        <w:gridCol w:w="2551"/>
      </w:tblGrid>
      <w:tr>
        <w:trPr>
          <w:cantSplit/>
          <w:tblHeader/>
        </w:trPr>
        <w:tc>
          <w:tcPr>
            <w:tcW w:type="dxa" w:w="794"/>
            <w:shd w:val="clear" w:color="auto" w:fill="0F6B63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6293"/>
            <w:shd w:val="clear" w:color="auto" w:fill="0F6B63"/>
          </w:tcPr>
          <w:p>
            <w:pPr>
              <w:spacing w:after="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51"/>
            <w:shd w:val="clear" w:color="auto" w:fill="0F6B63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Amount (₹)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6293"/>
          </w:tcPr>
          <w:p>
            <w:pPr>
              <w:spacing w:after="0"/>
            </w:pPr>
            <w:r>
              <w:rPr>
                <w:b w:val="0"/>
              </w:rPr>
              <w:t>Managed PostgreSQL Database Infrastructure &amp; AppSheet Connectivity – as per Scope of Services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rPr>
                <w:b w:val="0"/>
              </w:rPr>
              <w:t>4,20,000</w:t>
            </w:r>
          </w:p>
        </w:tc>
      </w:tr>
      <w:tr>
        <w:trPr>
          <w:cantSplit/>
        </w:trPr>
        <w:tc>
          <w:tcPr>
            <w:tcW w:type="dxa" w:w="7087"/>
            <w:gridSpan w:val="2"/>
            <w:shd w:val="clear" w:color="auto" w:fill="E3F1EF"/>
          </w:tcPr>
          <w:p>
            <w:pPr>
              <w:spacing w:after="0"/>
            </w:pPr>
            <w:r>
              <w:rPr>
                <w:b/>
                <w:color w:val="0F6B63"/>
                <w:sz w:val="22"/>
              </w:rPr>
              <w:t>TOTAL QUOTATION AMOUNT (inclusive of all applicable taxes)</w:t>
            </w:r>
          </w:p>
        </w:tc>
        <w:tc>
          <w:tcPr>
            <w:tcW w:type="dxa" w:w="2551"/>
            <w:shd w:val="clear" w:color="auto" w:fill="E3F1EF"/>
          </w:tcPr>
          <w:p>
            <w:pPr>
              <w:spacing w:after="0"/>
              <w:jc w:val="right"/>
            </w:pPr>
            <w:r>
              <w:rPr>
                <w:b/>
                <w:color w:val="0F6B63"/>
                <w:sz w:val="26"/>
              </w:rPr>
              <w:t>₹ 4,20,000</w:t>
            </w:r>
          </w:p>
        </w:tc>
      </w:tr>
    </w:tbl>
    <w:p>
      <w:pPr>
        <w:spacing w:before="100"/>
      </w:pPr>
      <w:r>
        <w:rPr>
          <w:b/>
        </w:rPr>
        <w:t>Amount in words: Rupees Four Lakh Twenty Thousand Only.</w:t>
      </w:r>
    </w:p>
    <w:p>
      <w:pPr>
        <w:keepNext/>
        <w:spacing w:after="80" w:before="200"/>
        <w:pBdr>
          <w:bottom w:val="single" w:sz="6" w:color="0F6B63" w:space="1"/>
        </w:pBdr>
      </w:pPr>
      <w:r>
        <w:rPr>
          <w:b/>
          <w:color w:val="0F6B63"/>
          <w:sz w:val="22"/>
        </w:rPr>
        <w:t>3. PAYMENT TERMS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FB3AE"/>
          <w:left w:val="single" w:sz="4" w:color="8FB3AE"/>
          <w:bottom w:val="single" w:sz="4" w:color="8FB3AE"/>
          <w:right w:val="single" w:sz="4" w:color="8FB3AE"/>
          <w:insideH w:val="single" w:sz="4" w:color="8FB3AE"/>
          <w:insideV w:val="single" w:sz="4" w:color="8FB3A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794"/>
        <w:gridCol w:w="4592"/>
        <w:gridCol w:w="2268"/>
        <w:gridCol w:w="1984"/>
      </w:tblGrid>
      <w:tr>
        <w:trPr>
          <w:cantSplit/>
          <w:tblHeader/>
        </w:trPr>
        <w:tc>
          <w:tcPr>
            <w:tcW w:type="dxa" w:w="794"/>
            <w:shd w:val="clear" w:color="auto" w:fill="0F6B63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S.No.</w:t>
            </w:r>
          </w:p>
        </w:tc>
        <w:tc>
          <w:tcPr>
            <w:tcW w:type="dxa" w:w="4592"/>
            <w:shd w:val="clear" w:color="auto" w:fill="0F6B63"/>
          </w:tcPr>
          <w:p>
            <w:pPr>
              <w:spacing w:after="0"/>
            </w:pPr>
            <w:r>
              <w:rPr>
                <w:b/>
                <w:color w:val="FFFFFF"/>
              </w:rPr>
              <w:t>Payment Stage</w:t>
            </w:r>
          </w:p>
        </w:tc>
        <w:tc>
          <w:tcPr>
            <w:tcW w:type="dxa" w:w="2268"/>
            <w:shd w:val="clear" w:color="auto" w:fill="0F6B63"/>
          </w:tcPr>
          <w:p>
            <w:pPr>
              <w:spacing w:after="0"/>
            </w:pPr>
            <w:r>
              <w:rPr>
                <w:b/>
                <w:color w:val="FFFFFF"/>
              </w:rPr>
              <w:t>Due</w:t>
            </w:r>
          </w:p>
        </w:tc>
        <w:tc>
          <w:tcPr>
            <w:tcW w:type="dxa" w:w="1984"/>
            <w:shd w:val="clear" w:color="auto" w:fill="0F6B63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Amount (₹)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4592"/>
          </w:tcPr>
          <w:p>
            <w:pPr>
              <w:spacing w:after="0"/>
            </w:pPr>
            <w:r>
              <w:rPr>
                <w:b w:val="0"/>
              </w:rPr>
              <w:t>100% advance payment of the total quotation amount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  <w:t>Before work commencement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b w:val="0"/>
              </w:rPr>
              <w:t>4,20,000</w:t>
            </w:r>
          </w:p>
        </w:tc>
      </w:tr>
    </w:tbl>
    <w:p>
      <w:pPr>
        <w:spacing w:before="100"/>
      </w:pPr>
      <w:r>
        <w:rPr>
          <w:b w:val="0"/>
        </w:rPr>
        <w:t>The full payment of ₹4,20,000 must be received in advance, before work starts. Work will commence only after receipt of this payment.</w:t>
      </w:r>
    </w:p>
    <w:p>
      <w:pPr>
        <w:keepNext/>
        <w:spacing w:after="80" w:before="200"/>
        <w:pageBreakBefore/>
        <w:pBdr>
          <w:bottom w:val="single" w:sz="6" w:color="0F6B63" w:space="1"/>
        </w:pBdr>
      </w:pPr>
      <w:r>
        <w:rPr>
          <w:b/>
          <w:color w:val="0F6B63"/>
          <w:sz w:val="22"/>
        </w:rPr>
        <w:t>4. SERVICE CONDITIONS &amp; ASSUMPTIONS</w:t>
      </w:r>
    </w:p>
    <w:p>
      <w:pPr>
        <w:pStyle w:val="ListBullet"/>
        <w:spacing w:after="60"/>
      </w:pPr>
      <w:r>
        <w:t>Custom AppSheet development, bulk data migration and report development are excluded unless separately agreed in writing.</w:t>
      </w:r>
    </w:p>
    <w:p>
      <w:pPr>
        <w:pStyle w:val="ListBullet"/>
        <w:spacing w:after="60"/>
      </w:pPr>
      <w:r>
        <w:t>Third-party licences and services (including AppSheet/Google Workspace subscriptions) not explicitly included in this quotation remain the client's responsibility.</w:t>
      </w:r>
    </w:p>
    <w:p>
      <w:pPr>
        <w:pStyle w:val="ListBullet"/>
        <w:spacing w:after="60"/>
      </w:pPr>
      <w:r>
        <w:t>Hosting resources, storage, backup and recovery arrangements will be confirmed with the client during onboarding.</w:t>
      </w:r>
    </w:p>
    <w:p>
      <w:pPr>
        <w:pStyle w:val="ListBullet"/>
        <w:spacing w:after="60"/>
      </w:pPr>
      <w:r>
        <w:t>The client will provide timely access and approvals required for the work. No specific uptime or recovery guarantee is offered unless separately agreed.</w:t>
      </w:r>
    </w:p>
    <w:p>
      <w:pPr>
        <w:keepNext/>
        <w:spacing w:after="80" w:before="200"/>
        <w:pBdr>
          <w:bottom w:val="single" w:sz="6" w:color="0F6B63" w:space="1"/>
        </w:pBdr>
      </w:pPr>
      <w:r>
        <w:rPr>
          <w:b/>
          <w:color w:val="0F6B63"/>
          <w:sz w:val="22"/>
        </w:rPr>
        <w:t>5. ACCEPTANCE</w:t>
      </w:r>
    </w:p>
    <w:p>
      <w:pPr>
        <w:spacing w:after="80"/>
      </w:pPr>
      <w:r>
        <w:rPr>
          <w:b w:val="0"/>
        </w:rPr>
        <w:t>By signing below, the parties accept this quotation and the terms stated above.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FB3AE"/>
          <w:left w:val="single" w:sz="4" w:color="8FB3AE"/>
          <w:bottom w:val="single" w:sz="4" w:color="8FB3AE"/>
          <w:right w:val="single" w:sz="4" w:color="8FB3AE"/>
          <w:insideH w:val="single" w:sz="4" w:color="8FB3AE"/>
          <w:insideV w:val="single" w:sz="4" w:color="8FB3AE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color="auto" w:fill="0F6B63"/>
          </w:tcPr>
          <w:p>
            <w:pPr>
              <w:spacing w:after="0"/>
            </w:pPr>
            <w:r>
              <w:rPr>
                <w:b/>
                <w:color w:val="FFFFFF"/>
              </w:rPr>
              <w:t>For Khojo Right Now Private Limited</w:t>
            </w:r>
          </w:p>
        </w:tc>
        <w:tc>
          <w:tcPr>
            <w:tcW w:type="dxa" w:w="4819"/>
            <w:shd w:val="clear" w:color="auto" w:fill="0F6B63"/>
          </w:tcPr>
          <w:p>
            <w:pPr>
              <w:spacing w:after="0"/>
            </w:pPr>
            <w:r>
              <w:rPr>
                <w:b/>
                <w:color w:val="FFFFFF"/>
              </w:rPr>
              <w:t>For Manjari Foundation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</w:rPr>
              <w:t>Signature:</w:t>
              <w:br/>
              <w:br/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</w:rPr>
              <w:t>Signature:</w:t>
              <w:br/>
              <w:br/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</w:rPr>
              <w:t>Name &amp; Designation: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</w:rPr>
              <w:t>Name &amp; Designation: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</w:rPr>
              <w:t>Date: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b w:val="0"/>
              </w:rPr>
              <w:t>Date: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85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Khojo Right Now Private Limited  |  khojorightnow@gmail.com  |  Quotation No. KRN/QT/2026-27/001  |  Page </w:t>
    </w:r>
    <w:r>
      <w:rPr>
        <w:color w:val="66666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