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40"/>
        </w:rPr>
        <w:t>RAIJMAIT QUANTUM</w:t>
      </w:r>
    </w:p>
    <w:p>
      <w:pPr>
        <w:spacing w:after="200"/>
        <w:jc w:val="center"/>
      </w:pPr>
      <w:r>
        <w:rPr>
          <w:b w:val="0"/>
          <w:color w:val="555555"/>
          <w:sz w:val="22"/>
        </w:rPr>
        <w:t>Software Development &amp; Data Management Solutions</w:t>
      </w:r>
    </w:p>
    <w:p>
      <w:pPr>
        <w:spacing w:after="40"/>
      </w:pPr>
      <w:r>
        <w:rPr>
          <w:b/>
        </w:rPr>
        <w:t xml:space="preserve">From: </w:t>
      </w:r>
      <w:r>
        <w:t>Raijmait Quantum, Software Development &amp; Data Management Solutions</w:t>
      </w:r>
    </w:p>
    <w:p>
      <w:pPr>
        <w:spacing w:after="40"/>
      </w:pPr>
      <w:r>
        <w:rPr>
          <w:b/>
        </w:rPr>
        <w:t xml:space="preserve">To: </w:t>
      </w:r>
      <w:r>
        <w:t>Sir Syed Trust</w:t>
      </w:r>
    </w:p>
    <w:p>
      <w:pPr>
        <w:spacing w:after="40"/>
      </w:pPr>
      <w:r>
        <w:rPr>
          <w:b/>
        </w:rPr>
        <w:t xml:space="preserve">Date: </w:t>
      </w:r>
      <w:r>
        <w:t>03 October 2026</w:t>
      </w:r>
    </w:p>
    <w:p>
      <w:pPr>
        <w:spacing w:after="40"/>
      </w:pPr>
      <w:r>
        <w:rPr>
          <w:b/>
        </w:rPr>
        <w:t xml:space="preserve">Subject: </w:t>
      </w:r>
      <w:r>
        <w:t>Quotation for Development of Women Livelihood Programme Management Application</w:t>
      </w:r>
    </w:p>
    <w:p>
      <w:r>
        <w:rPr>
          <w:b w:val="0"/>
        </w:rPr>
      </w:r>
    </w:p>
    <w:p>
      <w:r>
        <w:rPr>
          <w:b w:val="0"/>
        </w:rPr>
        <w:t>Dear Sir/Madam,</w:t>
      </w:r>
    </w:p>
    <w:p>
      <w:r>
        <w:rPr>
          <w:b w:val="0"/>
        </w:rPr>
        <w:t>Raijmait Quantum is pleased to submit this quotation for the design, development, implementation, and deployment of a comprehensive Women Livelihood Programme Management Application for Sir Syed Trust.</w:t>
      </w:r>
    </w:p>
    <w:p>
      <w:r>
        <w:rPr>
          <w:b w:val="0"/>
        </w:rPr>
        <w:t>The proposed application will be developed on the AppSheet platform and designed specifically to support field-level programme implementation, beneficiary management, financial tracking, monitoring, and reporting. The solution will provide an integrated platform for managing SHGs, loans and CCL, agriculture, livestock, micro-enterprises, and other livelihood interventions.</w:t>
      </w:r>
    </w:p>
    <w:p>
      <w:pPr>
        <w:keepNext/>
        <w:spacing w:before="280"/>
        <w:pBdr>
          <w:bottom w:val="single" w:sz="6" w:space="1" w:color="1F3A5F"/>
        </w:pBdr>
      </w:pPr>
      <w:r>
        <w:rPr>
          <w:b/>
          <w:color w:val="1F3A5F"/>
          <w:sz w:val="26"/>
        </w:rPr>
        <w:t>1. Proposed Application Modules</w:t>
      </w:r>
    </w:p>
    <w:p>
      <w:r>
        <w:rPr>
          <w:b w:val="0"/>
        </w:rPr>
        <w:t>The application will include the following major modules:</w:t>
      </w:r>
    </w:p>
    <w:p>
      <w:pPr>
        <w:keepNext/>
        <w:spacing w:after="40" w:before="160"/>
      </w:pPr>
      <w:r>
        <w:rPr>
          <w:b/>
        </w:rPr>
        <w:t>SHG Management</w:t>
      </w:r>
    </w:p>
    <w:p>
      <w:pPr>
        <w:pStyle w:val="ListBullet"/>
        <w:spacing w:after="20"/>
      </w:pPr>
      <w:r>
        <w:t>SHG registration and profiling</w:t>
      </w:r>
    </w:p>
    <w:p>
      <w:pPr>
        <w:pStyle w:val="ListBullet"/>
        <w:spacing w:after="20"/>
      </w:pPr>
      <w:r>
        <w:t>SHG member management</w:t>
      </w:r>
    </w:p>
    <w:p>
      <w:pPr>
        <w:pStyle w:val="ListBullet"/>
        <w:spacing w:after="20"/>
      </w:pPr>
      <w:r>
        <w:t>Village and location mapping</w:t>
      </w:r>
    </w:p>
    <w:p>
      <w:pPr>
        <w:pStyle w:val="ListBullet"/>
        <w:spacing w:after="20"/>
      </w:pPr>
      <w:r>
        <w:t>Member enrolment and exit tracking</w:t>
      </w:r>
    </w:p>
    <w:p>
      <w:pPr>
        <w:pStyle w:val="ListBullet"/>
        <w:spacing w:after="20"/>
      </w:pPr>
      <w:r>
        <w:t>SHG meeting and activity records</w:t>
      </w:r>
    </w:p>
    <w:p>
      <w:pPr>
        <w:pStyle w:val="ListBullet"/>
        <w:spacing w:after="20"/>
      </w:pPr>
      <w:r>
        <w:t>Savings and contribution tracking</w:t>
      </w:r>
    </w:p>
    <w:p>
      <w:pPr>
        <w:pStyle w:val="ListBullet"/>
        <w:spacing w:after="20"/>
      </w:pPr>
      <w:r>
        <w:t>Group-level financial records</w:t>
      </w:r>
    </w:p>
    <w:p>
      <w:pPr>
        <w:keepNext/>
        <w:spacing w:after="40" w:before="160"/>
      </w:pPr>
      <w:r>
        <w:rPr>
          <w:b/>
        </w:rPr>
        <w:t>Loan &amp; CCL Management</w:t>
      </w:r>
    </w:p>
    <w:p>
      <w:pPr>
        <w:pStyle w:val="ListBullet"/>
        <w:spacing w:after="20"/>
      </w:pPr>
      <w:r>
        <w:t>Loan application and disbursement records</w:t>
      </w:r>
    </w:p>
    <w:p>
      <w:pPr>
        <w:pStyle w:val="ListBullet"/>
        <w:spacing w:after="20"/>
      </w:pPr>
      <w:r>
        <w:t>Individual and group loan management</w:t>
      </w:r>
    </w:p>
    <w:p>
      <w:pPr>
        <w:pStyle w:val="ListBullet"/>
        <w:spacing w:after="20"/>
      </w:pPr>
      <w:r>
        <w:t>Loan repayment schedules</w:t>
      </w:r>
    </w:p>
    <w:p>
      <w:pPr>
        <w:pStyle w:val="ListBullet"/>
        <w:spacing w:after="20"/>
      </w:pPr>
      <w:r>
        <w:t>Principal and interest tracking</w:t>
      </w:r>
    </w:p>
    <w:p>
      <w:pPr>
        <w:pStyle w:val="ListBullet"/>
        <w:spacing w:after="20"/>
      </w:pPr>
      <w:r>
        <w:t>Outstanding balance monitoring</w:t>
      </w:r>
    </w:p>
    <w:p>
      <w:pPr>
        <w:pStyle w:val="ListBullet"/>
        <w:spacing w:after="20"/>
      </w:pPr>
      <w:r>
        <w:t>CCL (Cash Credit Limit) management</w:t>
      </w:r>
    </w:p>
    <w:p>
      <w:pPr>
        <w:pStyle w:val="ListBullet"/>
        <w:spacing w:after="20"/>
      </w:pPr>
      <w:r>
        <w:t>Repayment history</w:t>
      </w:r>
    </w:p>
    <w:p>
      <w:pPr>
        <w:pStyle w:val="ListBullet"/>
        <w:spacing w:after="20"/>
      </w:pPr>
      <w:r>
        <w:t>Overdue loan identification and tracking</w:t>
      </w:r>
    </w:p>
    <w:p>
      <w:pPr>
        <w:pStyle w:val="ListBullet"/>
        <w:spacing w:after="20"/>
      </w:pPr>
      <w:r>
        <w:t>Loan utilization monitoring</w:t>
      </w:r>
    </w:p>
    <w:p>
      <w:pPr>
        <w:keepNext/>
        <w:spacing w:after="40" w:before="160"/>
      </w:pPr>
      <w:r>
        <w:rPr>
          <w:b/>
        </w:rPr>
        <w:t>Agriculture Module</w:t>
      </w:r>
    </w:p>
    <w:p>
      <w:pPr>
        <w:pStyle w:val="ListBullet"/>
        <w:spacing w:after="20"/>
      </w:pPr>
      <w:r>
        <w:t>Farmer/beneficiary profiling</w:t>
      </w:r>
    </w:p>
    <w:p>
      <w:pPr>
        <w:pStyle w:val="ListBullet"/>
        <w:spacing w:after="20"/>
      </w:pPr>
      <w:r>
        <w:t>Landholding details</w:t>
      </w:r>
    </w:p>
    <w:p>
      <w:pPr>
        <w:pStyle w:val="ListBullet"/>
        <w:spacing w:after="20"/>
      </w:pPr>
      <w:r>
        <w:t>Crop and season-wise records</w:t>
      </w:r>
    </w:p>
    <w:p>
      <w:pPr>
        <w:pStyle w:val="ListBullet"/>
        <w:spacing w:after="20"/>
      </w:pPr>
      <w:r>
        <w:t>Agriculture activities and interventions</w:t>
      </w:r>
    </w:p>
    <w:p>
      <w:pPr>
        <w:pStyle w:val="ListBullet"/>
        <w:spacing w:after="20"/>
      </w:pPr>
      <w:r>
        <w:t>Input/support distribution</w:t>
      </w:r>
    </w:p>
    <w:p>
      <w:pPr>
        <w:pStyle w:val="ListBullet"/>
        <w:spacing w:after="20"/>
      </w:pPr>
      <w:r>
        <w:t>Production and yield tracking</w:t>
      </w:r>
    </w:p>
    <w:p>
      <w:pPr>
        <w:pStyle w:val="ListBullet"/>
        <w:spacing w:after="20"/>
      </w:pPr>
      <w:r>
        <w:t>Training and capacity-building records</w:t>
      </w:r>
    </w:p>
    <w:p>
      <w:pPr>
        <w:pStyle w:val="ListBullet"/>
        <w:spacing w:after="20"/>
      </w:pPr>
      <w:r>
        <w:t>Income and outcome tracking</w:t>
      </w:r>
    </w:p>
    <w:p>
      <w:pPr>
        <w:keepNext/>
        <w:spacing w:after="40" w:before="160"/>
      </w:pPr>
      <w:r>
        <w:rPr>
          <w:b/>
        </w:rPr>
        <w:t>Livestock Module</w:t>
      </w:r>
    </w:p>
    <w:p>
      <w:pPr>
        <w:pStyle w:val="ListBullet"/>
        <w:spacing w:after="20"/>
      </w:pPr>
      <w:r>
        <w:t>Livestock beneficiary records</w:t>
      </w:r>
    </w:p>
    <w:p>
      <w:pPr>
        <w:pStyle w:val="ListBullet"/>
        <w:spacing w:after="20"/>
      </w:pPr>
      <w:r>
        <w:t>Animal-wise details</w:t>
      </w:r>
    </w:p>
    <w:p>
      <w:pPr>
        <w:pStyle w:val="ListBullet"/>
        <w:spacing w:after="20"/>
      </w:pPr>
      <w:r>
        <w:t>Livestock intervention/support tracking</w:t>
      </w:r>
    </w:p>
    <w:p>
      <w:pPr>
        <w:pStyle w:val="ListBullet"/>
        <w:spacing w:after="20"/>
      </w:pPr>
      <w:r>
        <w:t>Vaccination and health records</w:t>
      </w:r>
    </w:p>
    <w:p>
      <w:pPr>
        <w:pStyle w:val="ListBullet"/>
        <w:spacing w:after="20"/>
      </w:pPr>
      <w:r>
        <w:t>Training records</w:t>
      </w:r>
    </w:p>
    <w:p>
      <w:pPr>
        <w:pStyle w:val="ListBullet"/>
        <w:spacing w:after="20"/>
      </w:pPr>
      <w:r>
        <w:t>Production and income tracking</w:t>
      </w:r>
    </w:p>
    <w:p>
      <w:pPr>
        <w:keepNext/>
        <w:spacing w:after="40" w:before="160"/>
      </w:pPr>
      <w:r>
        <w:rPr>
          <w:b/>
        </w:rPr>
        <w:t>Micro-Enterprise Module</w:t>
      </w:r>
    </w:p>
    <w:p>
      <w:pPr>
        <w:pStyle w:val="ListBullet"/>
        <w:spacing w:after="20"/>
      </w:pPr>
      <w:r>
        <w:t>Entrepreneur registration</w:t>
      </w:r>
    </w:p>
    <w:p>
      <w:pPr>
        <w:pStyle w:val="ListBullet"/>
        <w:spacing w:after="20"/>
      </w:pPr>
      <w:r>
        <w:t>Enterprise profiling</w:t>
      </w:r>
    </w:p>
    <w:p>
      <w:pPr>
        <w:pStyle w:val="ListBullet"/>
        <w:spacing w:after="20"/>
      </w:pPr>
      <w:r>
        <w:t>Business category and activity</w:t>
      </w:r>
    </w:p>
    <w:p>
      <w:pPr>
        <w:pStyle w:val="ListBullet"/>
        <w:spacing w:after="20"/>
      </w:pPr>
      <w:r>
        <w:t>Financial assistance/support</w:t>
      </w:r>
    </w:p>
    <w:p>
      <w:pPr>
        <w:pStyle w:val="ListBullet"/>
        <w:spacing w:after="20"/>
      </w:pPr>
      <w:r>
        <w:t>Investment details</w:t>
      </w:r>
    </w:p>
    <w:p>
      <w:pPr>
        <w:pStyle w:val="ListBullet"/>
        <w:spacing w:after="20"/>
      </w:pPr>
      <w:r>
        <w:t>Sales, revenue, and income tracking</w:t>
      </w:r>
    </w:p>
    <w:p>
      <w:pPr>
        <w:pStyle w:val="ListBullet"/>
        <w:spacing w:after="20"/>
      </w:pPr>
      <w:r>
        <w:t>Enterprise progress monitoring</w:t>
      </w:r>
    </w:p>
    <w:p>
      <w:pPr>
        <w:pStyle w:val="ListBullet"/>
        <w:spacing w:after="20"/>
      </w:pPr>
      <w:r>
        <w:t>Training and mentoring records</w:t>
      </w:r>
    </w:p>
    <w:p>
      <w:pPr>
        <w:keepNext/>
        <w:spacing w:after="40" w:before="160"/>
      </w:pPr>
      <w:r>
        <w:rPr>
          <w:b/>
        </w:rPr>
        <w:t>Additional Programme Management Features</w:t>
      </w:r>
    </w:p>
    <w:p>
      <w:pPr>
        <w:pStyle w:val="ListBullet"/>
        <w:spacing w:after="20"/>
      </w:pPr>
      <w:r>
        <w:t>Project management</w:t>
      </w:r>
    </w:p>
    <w:p>
      <w:pPr>
        <w:pStyle w:val="ListBullet"/>
        <w:spacing w:after="20"/>
      </w:pPr>
      <w:r>
        <w:t>State, district, block, village and location masters</w:t>
      </w:r>
    </w:p>
    <w:p>
      <w:pPr>
        <w:pStyle w:val="ListBullet"/>
        <w:spacing w:after="20"/>
      </w:pPr>
      <w:r>
        <w:t>User management</w:t>
      </w:r>
    </w:p>
    <w:p>
      <w:pPr>
        <w:pStyle w:val="ListBullet"/>
        <w:spacing w:after="20"/>
      </w:pPr>
      <w:r>
        <w:t>Role-based access control</w:t>
      </w:r>
    </w:p>
    <w:p>
      <w:pPr>
        <w:pStyle w:val="ListBullet"/>
        <w:spacing w:after="20"/>
      </w:pPr>
      <w:r>
        <w:t>Field staff allocation</w:t>
      </w:r>
    </w:p>
    <w:p>
      <w:pPr>
        <w:pStyle w:val="ListBullet"/>
        <w:spacing w:after="20"/>
      </w:pPr>
      <w:r>
        <w:t>Beneficiary management</w:t>
      </w:r>
    </w:p>
    <w:p>
      <w:pPr>
        <w:pStyle w:val="ListBullet"/>
        <w:spacing w:after="20"/>
      </w:pPr>
      <w:r>
        <w:t>Training and meeting records</w:t>
      </w:r>
    </w:p>
    <w:p>
      <w:pPr>
        <w:pStyle w:val="ListBullet"/>
        <w:spacing w:after="20"/>
      </w:pPr>
      <w:r>
        <w:t>Activity tracking</w:t>
      </w:r>
    </w:p>
    <w:p>
      <w:pPr>
        <w:pStyle w:val="ListBullet"/>
        <w:spacing w:after="20"/>
      </w:pPr>
      <w:r>
        <w:t>Document and photograph uploading</w:t>
      </w:r>
    </w:p>
    <w:p>
      <w:pPr>
        <w:pStyle w:val="ListBullet"/>
        <w:spacing w:after="20"/>
      </w:pPr>
      <w:r>
        <w:t>Monitoring indicators</w:t>
      </w:r>
    </w:p>
    <w:p>
      <w:pPr>
        <w:pStyle w:val="ListBullet"/>
        <w:spacing w:after="20"/>
      </w:pPr>
      <w:r>
        <w:t>MIS reports and dashboards</w:t>
      </w:r>
    </w:p>
    <w:p>
      <w:pPr>
        <w:pStyle w:val="ListBullet"/>
        <w:spacing w:after="20"/>
      </w:pPr>
      <w:r>
        <w:t>Data export for further analysis</w:t>
      </w:r>
    </w:p>
    <w:p>
      <w:pPr>
        <w:pStyle w:val="ListBullet"/>
        <w:spacing w:after="20"/>
      </w:pPr>
      <w:r>
        <w:t>Other livelihood-related modules as mutually finalized during the requirement analysis stage</w:t>
      </w:r>
    </w:p>
    <w:p>
      <w:pPr>
        <w:keepNext/>
        <w:spacing w:before="280"/>
        <w:pBdr>
          <w:bottom w:val="single" w:sz="6" w:space="1" w:color="1F3A5F"/>
        </w:pBdr>
      </w:pPr>
      <w:r>
        <w:rPr>
          <w:b/>
          <w:color w:val="1F3A5F"/>
          <w:sz w:val="26"/>
        </w:rPr>
        <w:t>2. Benefits of the AppSheet Platform</w:t>
      </w:r>
    </w:p>
    <w:p>
      <w:r>
        <w:rPr>
          <w:b w:val="0"/>
        </w:rPr>
        <w:t>The application will be developed using Google AppSheet, providing several advantages for field-based livelihood programmes:</w:t>
      </w:r>
    </w:p>
    <w:p>
      <w:pPr>
        <w:pStyle w:val="ListBullet"/>
        <w:spacing w:after="20"/>
      </w:pPr>
      <w:r>
        <w:rPr>
          <w:b/>
        </w:rPr>
        <w:t>Offline Data Collection:</w:t>
      </w:r>
      <w:r>
        <w:t xml:space="preserve"> Field teams can capture data even in locations with limited or no internet connectivity and synchronize it when connectivity becomes available.</w:t>
      </w:r>
    </w:p>
    <w:p>
      <w:pPr>
        <w:pStyle w:val="ListBullet"/>
        <w:spacing w:after="20"/>
      </w:pPr>
      <w:r>
        <w:rPr>
          <w:b/>
        </w:rPr>
        <w:t>Mobile &amp; Web Access:</w:t>
      </w:r>
      <w:r>
        <w:t xml:space="preserve"> The application can be accessed through smartphones, tablets, laptops, and web browsers.</w:t>
      </w:r>
    </w:p>
    <w:p>
      <w:pPr>
        <w:pStyle w:val="ListBullet"/>
        <w:spacing w:after="20"/>
      </w:pPr>
      <w:r>
        <w:rPr>
          <w:b/>
        </w:rPr>
        <w:t>Centralized Database:</w:t>
      </w:r>
      <w:r>
        <w:t xml:space="preserve"> Programme information can be maintained centrally instead of managing multiple disconnected spreadsheets.</w:t>
      </w:r>
    </w:p>
    <w:p>
      <w:pPr>
        <w:pStyle w:val="ListBullet"/>
        <w:spacing w:after="20"/>
      </w:pPr>
      <w:r>
        <w:rPr>
          <w:b/>
        </w:rPr>
        <w:t>Data Recovery &amp; Synchronization:</w:t>
      </w:r>
      <w:r>
        <w:t xml:space="preserve"> Data synchronization and cloud-based storage help reduce the risk associated with locally stored records.</w:t>
      </w:r>
    </w:p>
    <w:p>
      <w:pPr>
        <w:pStyle w:val="ListBullet"/>
        <w:spacing w:after="20"/>
      </w:pPr>
      <w:r>
        <w:rPr>
          <w:b/>
        </w:rPr>
        <w:t>Role-Based Access:</w:t>
      </w:r>
      <w:r>
        <w:t xml:space="preserve"> Different access levels can be configured for administrators, programme managers, MIS teams, supervisors, and field users.</w:t>
      </w:r>
    </w:p>
    <w:p>
      <w:pPr>
        <w:pStyle w:val="ListBullet"/>
        <w:spacing w:after="20"/>
      </w:pPr>
      <w:r>
        <w:rPr>
          <w:b/>
        </w:rPr>
        <w:t>Real-Time Monitoring:</w:t>
      </w:r>
      <w:r>
        <w:t xml:space="preserve"> Management can monitor programme progress and field-level data without waiting for manual consolidation.</w:t>
      </w:r>
    </w:p>
    <w:p>
      <w:pPr>
        <w:pStyle w:val="ListBullet"/>
        <w:spacing w:after="20"/>
      </w:pPr>
      <w:r>
        <w:rPr>
          <w:b/>
        </w:rPr>
        <w:t>Geo-Tagging:</w:t>
      </w:r>
      <w:r>
        <w:t xml:space="preserve"> GPS coordinates can be captured for relevant field activities and beneficiary visits.</w:t>
      </w:r>
    </w:p>
    <w:p>
      <w:pPr>
        <w:pStyle w:val="ListBullet"/>
        <w:spacing w:after="20"/>
      </w:pPr>
      <w:r>
        <w:rPr>
          <w:b/>
        </w:rPr>
        <w:t>Photo &amp; Document Capture:</w:t>
      </w:r>
      <w:r>
        <w:t xml:space="preserve"> Users can upload photographs, documents, supporting evidence, and other programme records directly through the application.</w:t>
      </w:r>
    </w:p>
    <w:p>
      <w:pPr>
        <w:pStyle w:val="ListBullet"/>
        <w:spacing w:after="20"/>
      </w:pPr>
      <w:r>
        <w:rPr>
          <w:b/>
        </w:rPr>
        <w:t>Automated Workflows:</w:t>
      </w:r>
      <w:r>
        <w:t xml:space="preserve"> Notifications, approvals, alerts, document generation, and other repetitive processes can be automated wherever applicable.</w:t>
      </w:r>
    </w:p>
    <w:p>
      <w:pPr>
        <w:pStyle w:val="ListBullet"/>
        <w:spacing w:after="20"/>
      </w:pPr>
      <w:r>
        <w:rPr>
          <w:b/>
        </w:rPr>
        <w:t>Validation &amp; Data Quality:</w:t>
      </w:r>
      <w:r>
        <w:t xml:space="preserve"> Mandatory fields, validation rules, dependent dropdowns, and automated calculations can improve data accuracy.</w:t>
      </w:r>
    </w:p>
    <w:p>
      <w:pPr>
        <w:pStyle w:val="ListBullet"/>
        <w:spacing w:after="20"/>
      </w:pPr>
      <w:r>
        <w:rPr>
          <w:b/>
        </w:rPr>
        <w:t>Scalable Architecture:</w:t>
      </w:r>
      <w:r>
        <w:t xml:space="preserve"> New projects, locations, users, questionnaires, and programme modules can be added as programme requirements grow.</w:t>
      </w:r>
    </w:p>
    <w:p>
      <w:pPr>
        <w:pStyle w:val="ListBullet"/>
        <w:spacing w:after="20"/>
      </w:pPr>
      <w:r>
        <w:rPr>
          <w:b/>
        </w:rPr>
        <w:t>Dashboard &amp; Reporting:</w:t>
      </w:r>
      <w:r>
        <w:t xml:space="preserve"> Management-level dashboards and operational reports can be created for programme monitoring and decision-making.</w:t>
      </w:r>
    </w:p>
    <w:p>
      <w:pPr>
        <w:pStyle w:val="ListBullet"/>
        <w:spacing w:after="20"/>
      </w:pPr>
      <w:r>
        <w:rPr>
          <w:b/>
        </w:rPr>
        <w:t>Secure Access:</w:t>
      </w:r>
      <w:r>
        <w:t xml:space="preserve"> Authentication and role-based data restrictions can be configured so users access only authorized programme information.</w:t>
      </w:r>
    </w:p>
    <w:p>
      <w:pPr>
        <w:keepNext/>
        <w:spacing w:before="280"/>
        <w:pBdr>
          <w:bottom w:val="single" w:sz="6" w:space="1" w:color="1F3A5F"/>
        </w:pBdr>
      </w:pPr>
      <w:r>
        <w:rPr>
          <w:b/>
          <w:color w:val="1F3A5F"/>
          <w:sz w:val="26"/>
        </w:rPr>
        <w:t>3. Development &amp; Implementation Scope</w:t>
      </w:r>
    </w:p>
    <w:p>
      <w:r>
        <w:rPr>
          <w:b w:val="0"/>
        </w:rPr>
        <w:t>The development cost will cover: requirement analysis and workflow finalization; database and application architecture; UI/UX configuration; development of agreed modules; forms, views and dashboards; role-based access configuration; workflow automation; testing and bug fixing; initial deployment; and basic user/admin orientation.</w:t>
      </w:r>
    </w:p>
    <w:p>
      <w:pPr>
        <w:keepNext/>
        <w:spacing w:before="280"/>
        <w:pBdr>
          <w:bottom w:val="single" w:sz="6" w:space="1" w:color="1F3A5F"/>
        </w:pBdr>
      </w:pPr>
      <w:r>
        <w:rPr>
          <w:b/>
          <w:color w:val="1F3A5F"/>
          <w:sz w:val="26"/>
        </w:rPr>
        <w:t>4. Commercial Proposal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6236"/>
            <w:shd w:val="clear" w:fill="1F3A5F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Particulars</w:t>
            </w:r>
          </w:p>
        </w:tc>
        <w:tc>
          <w:tcPr>
            <w:tcW w:type="dxa" w:w="3175"/>
            <w:shd w:val="clear" w:fill="1F3A5F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6236"/>
          </w:tcPr>
          <w:p>
            <w:pPr>
              <w:spacing w:after="60" w:before="60"/>
            </w:pPr>
            <w:r/>
            <w:r>
              <w:t>Complete Application Development &amp; Initial Deployment</w:t>
            </w:r>
          </w:p>
        </w:tc>
        <w:tc>
          <w:tcPr>
            <w:tcW w:type="dxa" w:w="3175"/>
          </w:tcPr>
          <w:p>
            <w:pPr>
              <w:spacing w:after="60" w:before="60"/>
            </w:pPr>
            <w:r/>
            <w:r>
              <w:t>₹2,00,000</w:t>
            </w:r>
          </w:p>
        </w:tc>
      </w:tr>
      <w:tr>
        <w:tc>
          <w:tcPr>
            <w:tcW w:type="dxa" w:w="6236"/>
          </w:tcPr>
          <w:p>
            <w:pPr>
              <w:spacing w:after="60" w:before="60"/>
            </w:pPr>
            <w:r/>
            <w:r>
              <w:t>GST</w:t>
            </w:r>
          </w:p>
        </w:tc>
        <w:tc>
          <w:tcPr>
            <w:tcW w:type="dxa" w:w="3175"/>
          </w:tcPr>
          <w:p>
            <w:pPr>
              <w:spacing w:after="60" w:before="60"/>
            </w:pPr>
            <w:r/>
            <w:r>
              <w:t>Extra, as applicable</w:t>
            </w:r>
          </w:p>
        </w:tc>
      </w:tr>
      <w:tr>
        <w:tc>
          <w:tcPr>
            <w:tcW w:type="dxa" w:w="6236"/>
          </w:tcPr>
          <w:p>
            <w:pPr>
              <w:spacing w:after="60" w:before="60"/>
            </w:pPr>
            <w:r/>
            <w:r>
              <w:t>Annual Maintenance Contract (AMC)</w:t>
            </w:r>
          </w:p>
        </w:tc>
        <w:tc>
          <w:tcPr>
            <w:tcW w:type="dxa" w:w="3175"/>
          </w:tcPr>
          <w:p>
            <w:pPr>
              <w:spacing w:after="60" w:before="60"/>
            </w:pPr>
            <w:r/>
            <w:r>
              <w:t>₹1,00,000 per year + GST</w:t>
            </w:r>
          </w:p>
        </w:tc>
      </w:tr>
    </w:tbl>
    <w:p>
      <w:pPr>
        <w:spacing w:after="40"/>
      </w:pPr>
      <w:r>
        <w:rPr>
          <w:b w:val="0"/>
        </w:rPr>
      </w:r>
    </w:p>
    <w:p>
      <w:pPr>
        <w:spacing w:after="40"/>
      </w:pPr>
      <w:r>
        <w:rPr>
          <w:b/>
        </w:rPr>
        <w:t xml:space="preserve">Total Development Cost: </w:t>
      </w:r>
      <w:r>
        <w:t>₹2,00,000 + applicable GST</w:t>
      </w:r>
    </w:p>
    <w:p>
      <w:pPr>
        <w:spacing w:after="40"/>
      </w:pPr>
      <w:r>
        <w:rPr>
          <w:b/>
        </w:rPr>
        <w:t xml:space="preserve">Annual Maintenance Cost: </w:t>
      </w:r>
      <w:r>
        <w:t>₹1,00,000 per year + applicable GST</w:t>
      </w:r>
    </w:p>
    <w:p>
      <w:r>
        <w:rPr>
          <w:b w:val="0"/>
        </w:rPr>
      </w:r>
    </w:p>
    <w:p>
      <w:r>
        <w:rPr>
          <w:b w:val="0"/>
        </w:rPr>
        <w:t>The AMC will cover routine technical support, bug fixing, application maintenance, minor modifications, workflow adjustments, and assistance with existing application modules. Major new modules, substantial redevelopment, third-party integrations, or significant changes in the agreed scope may be quoted separately after mutual discussion.</w:t>
      </w:r>
    </w:p>
    <w:p>
      <w:pPr>
        <w:keepNext/>
        <w:spacing w:before="280"/>
        <w:pBdr>
          <w:bottom w:val="single" w:sz="6" w:space="1" w:color="1F3A5F"/>
        </w:pBdr>
      </w:pPr>
      <w:r>
        <w:rPr>
          <w:b/>
          <w:color w:val="1F3A5F"/>
          <w:sz w:val="26"/>
        </w:rPr>
        <w:t>5. Important Commercial Notes</w:t>
      </w:r>
    </w:p>
    <w:p>
      <w:pPr>
        <w:pStyle w:val="ListBullet"/>
        <w:spacing w:after="20"/>
      </w:pPr>
      <w:r>
        <w:t>AppSheet, Google Workspace, cloud database, third-party API, SMS/WhatsApp, payment gateway, or other third-party subscription/license charges, if required, are not included in the above development cost unless specifically agreed in writing.</w:t>
      </w:r>
    </w:p>
    <w:p>
      <w:pPr>
        <w:pStyle w:val="ListBullet"/>
        <w:spacing w:after="20"/>
      </w:pPr>
      <w:r>
        <w:t>The final application scope and workflow will be frozen after detailed requirement discussions with Sir Syed Trust.</w:t>
      </w:r>
    </w:p>
    <w:p>
      <w:pPr>
        <w:pStyle w:val="ListBullet"/>
        <w:spacing w:after="20"/>
      </w:pPr>
      <w:r>
        <w:t>Any additional modules or major requirements outside the mutually approved scope may involve additional development charges.</w:t>
      </w:r>
    </w:p>
    <w:p>
      <w:pPr>
        <w:pStyle w:val="ListBullet"/>
        <w:spacing w:after="20"/>
      </w:pPr>
      <w:r>
        <w:t>Data migration from existing systems/spreadsheets will depend on the structure and quality of the existing data and will be finalized during requirement analysis.</w:t>
      </w:r>
    </w:p>
    <w:p>
      <w:pPr>
        <w:pStyle w:val="ListBullet"/>
        <w:spacing w:after="20"/>
      </w:pPr>
      <w:r>
        <w:t>Application ownership, administrative access, deployment structure, and handover arrangements will be finalized mutually before production deployment.</w:t>
      </w:r>
    </w:p>
    <w:p>
      <w:pPr>
        <w:keepNext/>
        <w:spacing w:before="280"/>
        <w:pBdr>
          <w:bottom w:val="single" w:sz="6" w:space="1" w:color="1F3A5F"/>
        </w:pBdr>
      </w:pPr>
      <w:r>
        <w:rPr>
          <w:b/>
          <w:color w:val="1F3A5F"/>
          <w:sz w:val="26"/>
        </w:rPr>
        <w:t>6. Our Commitment</w:t>
      </w:r>
    </w:p>
    <w:p>
      <w:r>
        <w:rPr>
          <w:b w:val="0"/>
        </w:rPr>
        <w:t>Raijmait Quantum aims to provide Sir Syed Trust with a centralized, user-friendly, field-ready, and scalable digital MIS solution that reduces manual reporting, improves data quality, strengthens financial and programme monitoring, and enables timely decision-making for the Women Livelihood Programme.</w:t>
      </w:r>
    </w:p>
    <w:p>
      <w:r>
        <w:rPr>
          <w:b w:val="0"/>
        </w:rPr>
        <w:t>We look forward to working with Sir Syed Trust and supporting the digital transformation of its livelihood programme.</w:t>
      </w:r>
    </w:p>
    <w:p>
      <w:r>
        <w:rPr>
          <w:b w:val="0"/>
        </w:rPr>
        <w:t>Sincerely,</w:t>
      </w:r>
    </w:p>
    <w:p>
      <w:pPr>
        <w:spacing w:after="360"/>
      </w:pPr>
      <w:r>
        <w:rPr>
          <w:b w:val="0"/>
        </w:rPr>
      </w:r>
    </w:p>
    <w:p>
      <w:pPr>
        <w:spacing w:after="0"/>
      </w:pPr>
      <w:r>
        <w:rPr>
          <w:b/>
        </w:rPr>
        <w:t>For Raijmait Quantum</w:t>
      </w:r>
    </w:p>
    <w:p>
      <w:pPr>
        <w:spacing w:after="0"/>
      </w:pPr>
      <w:r>
        <w:rPr>
          <w:b w:val="0"/>
        </w:rPr>
        <w:t>Authorized Signatory</w:t>
      </w:r>
    </w:p>
    <w:p>
      <w:pPr>
        <w:spacing w:after="0"/>
      </w:pPr>
      <w:r>
        <w:rPr>
          <w:b w:val="0"/>
        </w:rPr>
        <w:t>Raijmait Quantum</w:t>
      </w:r>
    </w:p>
    <w:p>
      <w:r>
        <w:rPr>
          <w:b w:val="0"/>
        </w:rPr>
        <w:t>Software Development &amp; Data Management Solutions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Raijmait Quantum – Quotation for Sir Syed Trust –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