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953"/>
            <w:tcBorders>
              <w:top w:val="nil"/>
              <w:left w:val="nil"/>
              <w:bottom w:val="single" w:sz="36" w:color="0E7C86"/>
              <w:right w:val="nil"/>
            </w:tcBorders>
            <w:shd w:val="clear" w:color="auto" w:fill="12294A"/>
            <w:tcMar>
              <w:top w:w="220" w:type="dxa"/>
              <w:left w:w="260" w:type="dxa"/>
              <w:bottom w:w="200" w:type="dxa"/>
              <w:right w:w="26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44"/>
              </w:rPr>
              <w:t>RAIJMAIT QUANTUM</w:t>
            </w:r>
          </w:p>
          <w:p>
            <w:pPr>
              <w:spacing w:after="0" w:before="40"/>
            </w:pPr>
            <w:r>
              <w:rPr>
                <w:b w:val="0"/>
                <w:i w:val="0"/>
                <w:color w:val="BFD9DD"/>
                <w:sz w:val="20"/>
              </w:rPr>
              <w:t>Software Development &amp; Data Management Solutions</w:t>
            </w:r>
          </w:p>
        </w:tc>
        <w:tc>
          <w:tcPr>
            <w:tcW w:type="dxa" w:w="3685"/>
            <w:tcBorders>
              <w:top w:val="nil"/>
              <w:left w:val="nil"/>
              <w:bottom w:val="single" w:sz="36" w:color="0E7C86"/>
              <w:right w:val="nil"/>
            </w:tcBorders>
            <w:shd w:val="clear" w:color="auto" w:fill="12294A"/>
            <w:tcMar>
              <w:top w:w="220" w:type="dxa"/>
              <w:left w:w="260" w:type="dxa"/>
              <w:bottom w:w="200" w:type="dxa"/>
              <w:right w:w="26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b/>
                <w:i w:val="0"/>
                <w:color w:val="FFFFFF"/>
                <w:sz w:val="36"/>
              </w:rPr>
              <w:t>QUOTATION</w:t>
            </w:r>
          </w:p>
          <w:p>
            <w:pPr>
              <w:spacing w:after="0" w:before="40"/>
              <w:jc w:val="right"/>
            </w:pPr>
            <w:r>
              <w:rPr>
                <w:b w:val="0"/>
                <w:i w:val="0"/>
                <w:color w:val="BFD9DD"/>
                <w:sz w:val="20"/>
              </w:rPr>
              <w:t>03 October 2026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color w:val="0E7C86"/>
                <w:sz w:val="17"/>
              </w:rPr>
              <w:t>FROM</w:t>
            </w:r>
          </w:p>
        </w:tc>
        <w:tc>
          <w:tcPr>
            <w:tcW w:type="dxa" w:w="8164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1"/>
              </w:rPr>
              <w:t>Raijmait Quantum, Software Development &amp; Data Management Solutions</w:t>
            </w:r>
          </w:p>
        </w:tc>
      </w:tr>
      <w:tr>
        <w:tc>
          <w:tcPr>
            <w:tcW w:type="dxa" w:w="1474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color w:val="0E7C86"/>
                <w:sz w:val="17"/>
              </w:rPr>
              <w:t>TO</w:t>
            </w:r>
          </w:p>
        </w:tc>
        <w:tc>
          <w:tcPr>
            <w:tcW w:type="dxa" w:w="8164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1"/>
              </w:rPr>
              <w:t>Sir Syed Trust</w:t>
            </w:r>
          </w:p>
        </w:tc>
      </w:tr>
      <w:tr>
        <w:tc>
          <w:tcPr>
            <w:tcW w:type="dxa" w:w="1474"/>
            <w:tcBorders>
              <w:top w:val="nil"/>
              <w:left w:val="single" w:sz="24" w:color="0E7C86"/>
              <w:bottom w:val="nil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color w:val="0E7C86"/>
                <w:sz w:val="17"/>
              </w:rPr>
              <w:t>SUBJECT</w:t>
            </w:r>
          </w:p>
        </w:tc>
        <w:tc>
          <w:tcPr>
            <w:tcW w:type="dxa" w:w="8164"/>
            <w:tcBorders>
              <w:top w:val="nil"/>
              <w:left w:val="nil"/>
              <w:bottom w:val="nil"/>
              <w:right w:val="nil"/>
            </w:tcBorders>
            <w:shd w:val="clear" w:color="auto" w:fill="F3F6FA"/>
            <w:tcMar>
              <w:top w:w="90" w:type="dxa"/>
              <w:left w:w="180" w:type="dxa"/>
              <w:bottom w:w="90" w:type="dxa"/>
              <w:right w:w="12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color w:val="12294A"/>
                <w:sz w:val="21"/>
              </w:rPr>
              <w:t>Quotation for Development of Women Livelihood Programme Management Application</w:t>
            </w:r>
          </w:p>
        </w:tc>
      </w:tr>
    </w:tbl>
    <w:p>
      <w:pPr>
        <w:spacing w:after="0" w:line="240" w:lineRule="exact"/>
      </w:pPr>
    </w:p>
    <w:p>
      <w:pPr>
        <w:spacing w:after="120"/>
      </w:pPr>
      <w:r>
        <w:rPr>
          <w:b w:val="0"/>
          <w:i w:val="0"/>
        </w:rPr>
        <w:t>Dear Sir/Madam,</w:t>
      </w:r>
    </w:p>
    <w:p>
      <w:pPr>
        <w:spacing w:after="120"/>
        <w:jc w:val="both"/>
      </w:pPr>
      <w:r>
        <w:rPr>
          <w:b w:val="0"/>
          <w:i w:val="0"/>
        </w:rPr>
        <w:t>Raijmait Quantum is pleased to submit this quotation for the design, development, implementation, and deployment of a comprehensive Women Livelihood Programme Management Application for Sir Syed Trust.</w:t>
      </w:r>
    </w:p>
    <w:p>
      <w:pPr>
        <w:spacing w:after="80"/>
        <w:jc w:val="both"/>
      </w:pPr>
      <w:r>
        <w:rPr>
          <w:b w:val="0"/>
          <w:i w:val="0"/>
        </w:rPr>
        <w:t>The proposed application will be developed on the AppSheet platform and designed specifically to support field-level programme implementation, beneficiary management, financial tracking, monitoring, and reporting. The solution will provide an integrated platform for managing SHGs, loans and CCL, agriculture, livestock, micro-enterprises, and other livelihood interventions.</w:t>
      </w:r>
    </w:p>
    <w:p>
      <w:pPr>
        <w:spacing w:after="0" w:line="12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18" w:color="0E7C86"/>
              <w:left w:val="nil"/>
              <w:bottom w:val="nil"/>
              <w:right w:val="nil"/>
            </w:tcBorders>
            <w:shd w:val="clear" w:color="auto" w:fill="E6F2F3"/>
            <w:tcMar>
              <w:top w:w="110" w:type="dxa"/>
              <w:left w:w="80" w:type="dxa"/>
              <w:bottom w:w="110" w:type="dxa"/>
              <w:right w:w="8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12294A"/>
                <w:sz w:val="30"/>
              </w:rPr>
              <w:t>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A6472"/>
                <w:sz w:val="17"/>
              </w:rPr>
              <w:t>Core modules</w:t>
            </w:r>
          </w:p>
        </w:tc>
        <w:tc>
          <w:tcPr>
            <w:tcW w:type="dxa" w:w="2409"/>
            <w:tcBorders>
              <w:top w:val="single" w:sz="18" w:color="0E7C86"/>
              <w:left w:val="nil"/>
              <w:bottom w:val="nil"/>
              <w:right w:val="nil"/>
            </w:tcBorders>
            <w:shd w:val="clear" w:color="auto" w:fill="E6F2F3"/>
            <w:tcMar>
              <w:top w:w="110" w:type="dxa"/>
              <w:left w:w="80" w:type="dxa"/>
              <w:bottom w:w="110" w:type="dxa"/>
              <w:right w:w="8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12294A"/>
                <w:sz w:val="30"/>
              </w:rPr>
              <w:t>AppSheet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A6472"/>
                <w:sz w:val="17"/>
              </w:rPr>
              <w:t>Mobile &amp; web platform</w:t>
            </w:r>
          </w:p>
        </w:tc>
        <w:tc>
          <w:tcPr>
            <w:tcW w:type="dxa" w:w="2409"/>
            <w:tcBorders>
              <w:top w:val="single" w:sz="18" w:color="0E7C86"/>
              <w:left w:val="nil"/>
              <w:bottom w:val="nil"/>
              <w:right w:val="nil"/>
            </w:tcBorders>
            <w:shd w:val="clear" w:color="auto" w:fill="E6F2F3"/>
            <w:tcMar>
              <w:top w:w="110" w:type="dxa"/>
              <w:left w:w="80" w:type="dxa"/>
              <w:bottom w:w="110" w:type="dxa"/>
              <w:right w:w="8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12294A"/>
                <w:sz w:val="30"/>
              </w:rPr>
              <w:t>Offline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A6472"/>
                <w:sz w:val="17"/>
              </w:rPr>
              <w:t>Field data capture</w:t>
            </w:r>
          </w:p>
        </w:tc>
        <w:tc>
          <w:tcPr>
            <w:tcW w:type="dxa" w:w="2409"/>
            <w:tcBorders>
              <w:top w:val="single" w:sz="18" w:color="0E7C86"/>
              <w:left w:val="nil"/>
              <w:bottom w:val="nil"/>
              <w:right w:val="nil"/>
            </w:tcBorders>
            <w:shd w:val="clear" w:color="auto" w:fill="E6F2F3"/>
            <w:tcMar>
              <w:top w:w="110" w:type="dxa"/>
              <w:left w:w="80" w:type="dxa"/>
              <w:bottom w:w="110" w:type="dxa"/>
              <w:right w:w="8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12294A"/>
                <w:sz w:val="30"/>
              </w:rPr>
              <w:t>Dashboards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A6472"/>
                <w:sz w:val="17"/>
              </w:rPr>
              <w:t>MIS &amp; reporting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1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PROPOSED APPLICATION MODULES</w:t>
            </w:r>
          </w:p>
        </w:tc>
      </w:tr>
    </w:tbl>
    <w:p>
      <w:pPr>
        <w:spacing w:after="0" w:line="120" w:lineRule="exact"/>
      </w:pPr>
    </w:p>
    <w:p>
      <w:pPr>
        <w:spacing w:after="120"/>
      </w:pPr>
      <w:r>
        <w:rPr>
          <w:b w:val="0"/>
          <w:i w:val="0"/>
        </w:rPr>
        <w:t>The application will include the following major modules: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01  </w:t>
            </w:r>
            <w:r>
              <w:rPr>
                <w:b/>
                <w:i w:val="0"/>
                <w:color w:val="12294A"/>
                <w:sz w:val="22"/>
              </w:rPr>
              <w:t>SHG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SHG registration and profiling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SHG member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Village and location mapping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Member enrolment and exit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SHG meeting and activity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Savings and contribution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Group-level financial records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02  </w:t>
            </w:r>
            <w:r>
              <w:rPr>
                <w:b/>
                <w:i w:val="0"/>
                <w:color w:val="12294A"/>
                <w:sz w:val="22"/>
              </w:rPr>
              <w:t>Loan &amp; CCL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Loan application and disbursement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Individual and group loan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Loan repayment schedules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Principal and interest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Outstanding balance monitoring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CCL (Cash Credit Limit)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Repayment history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Overdue loan identification and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Loan utilization monitoring</w:t>
            </w:r>
          </w:p>
        </w:tc>
      </w:tr>
      <w:tr>
        <w:trPr>
          <w:cantSplit/>
          <w:trHeight w:val="160" w:hRule="exact"/>
        </w:trPr>
        <w:tc>
          <w:tcPr>
            <w:tcW w:type="dxa" w:w="472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nil"/>
              <w:right w:val="nil"/>
            </w:tcBorders>
          </w:tcPr>
          <w:p/>
        </w:tc>
      </w:tr>
      <w:tr>
        <w:trPr>
          <w:cantSplit/>
        </w:trPr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03  </w:t>
            </w:r>
            <w:r>
              <w:rPr>
                <w:b/>
                <w:i w:val="0"/>
                <w:color w:val="12294A"/>
                <w:sz w:val="22"/>
              </w:rPr>
              <w:t>Agriculture Module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Farmer/beneficiary profiling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Landholding details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Crop and season-wise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Agriculture activities and interventions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Input/support distribution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Production and yield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Training and capacity-building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Income and outcome tracking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04  </w:t>
            </w:r>
            <w:r>
              <w:rPr>
                <w:b/>
                <w:i w:val="0"/>
                <w:color w:val="12294A"/>
                <w:sz w:val="22"/>
              </w:rPr>
              <w:t>Livestock Module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Livestock beneficiary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Animal-wise details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Livestock intervention/support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Vaccination and health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Training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Production and income tracking</w:t>
            </w:r>
          </w:p>
        </w:tc>
      </w:tr>
      <w:tr>
        <w:trPr>
          <w:cantSplit/>
          <w:trHeight w:val="160" w:hRule="exact"/>
        </w:trPr>
        <w:tc>
          <w:tcPr>
            <w:tcW w:type="dxa" w:w="472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nil"/>
              <w:right w:val="nil"/>
            </w:tcBorders>
          </w:tcPr>
          <w:p/>
        </w:tc>
      </w:tr>
      <w:tr>
        <w:trPr>
          <w:cantSplit/>
        </w:trPr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05  </w:t>
            </w:r>
            <w:r>
              <w:rPr>
                <w:b/>
                <w:i w:val="0"/>
                <w:color w:val="12294A"/>
                <w:sz w:val="22"/>
              </w:rPr>
              <w:t>Micro-Enterprise Module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Entrepreneur registration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Enterprise profiling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Business category and activity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Financial assistance/support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Investment details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Sales, revenue, and income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Enterprise progress monitoring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Training and mentoring records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single" w:sz="24" w:color="0E7C86"/>
              <w:left w:val="single" w:sz="4" w:color="D5DCE6"/>
              <w:bottom w:val="single" w:sz="4" w:color="D5DCE6"/>
              <w:right w:val="single" w:sz="4" w:color="D5DCE6"/>
            </w:tcBorders>
            <w:shd w:val="clear" w:color="auto" w:fill="F3F6FA"/>
            <w:tcMar>
              <w:top w:w="110" w:type="dxa"/>
              <w:left w:w="160" w:type="dxa"/>
              <w:bottom w:w="110" w:type="dxa"/>
              <w:right w:w="120" w:type="dxa"/>
            </w:tcMar>
          </w:tcPr>
          <w:p>
            <w:pPr>
              <w:spacing w:after="100" w:before="0"/>
            </w:pPr>
            <w:r>
              <w:rPr>
                <w:b/>
                <w:i w:val="0"/>
                <w:color w:val="0E7C86"/>
                <w:sz w:val="22"/>
              </w:rPr>
              <w:t xml:space="preserve">06  </w:t>
            </w:r>
            <w:r>
              <w:rPr>
                <w:b/>
                <w:i w:val="0"/>
                <w:color w:val="12294A"/>
                <w:sz w:val="22"/>
              </w:rPr>
              <w:t>Additional Programme Management Features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Project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State, district, block, village and location masters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User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Role-based access control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Field staff allocation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Beneficiary management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Training and meeting records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Activity tracking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Document and photograph uploading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Monitoring indicators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MIS reports and dashboards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Data export for further analysis</w:t>
            </w:r>
          </w:p>
          <w:p>
            <w:pPr>
              <w:spacing w:after="50" w:before="0"/>
              <w:ind w:left="255" w:hanging="255"/>
            </w:pPr>
            <w:r>
              <w:rPr>
                <w:b w:val="0"/>
                <w:i w:val="0"/>
                <w:color w:val="0E7C86"/>
                <w:sz w:val="13"/>
              </w:rPr>
              <w:t xml:space="preserve">■  </w:t>
            </w:r>
            <w:r>
              <w:rPr>
                <w:b w:val="0"/>
                <w:i w:val="0"/>
                <w:sz w:val="20"/>
              </w:rPr>
              <w:t>Other livelihood-related modules as mutually finalized during the requirement analysis stage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2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BENEFITS OF THE APPSHEET PLATFORM</w:t>
            </w:r>
          </w:p>
        </w:tc>
      </w:tr>
    </w:tbl>
    <w:p>
      <w:pPr>
        <w:spacing w:after="0" w:line="120" w:lineRule="exact"/>
      </w:pPr>
    </w:p>
    <w:p>
      <w:pPr>
        <w:spacing w:after="120"/>
      </w:pPr>
      <w:r>
        <w:rPr>
          <w:b w:val="0"/>
          <w:i w:val="0"/>
        </w:rPr>
        <w:t>The application will be developed using Google AppSheet, providing several advantages for field-based livelihood programmes: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Offline Data Collection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Field teams can capture data even in locations with limited or no internet connectivity and synchronize it when connectivity becomes available.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Mobile &amp; Web Access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The application can be accessed through smartphones, tablets, laptops, and web browsers.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Centralized Database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Programme information can be maintained centrally instead of managing multiple disconnected spreadsheets.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Data Recovery &amp; Synchronization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Data synchronization and cloud-based storage help reduce the risk associated with locally stored records.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Role-Based Access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Different access levels can be configured for administrators, programme managers, MIS teams, supervisors, and field users.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Real-Time Monitoring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Management can monitor programme progress and field-level data without waiting for manual consolidation.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Geo-Tagging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GPS coordinates can be captured for relevant field activities and beneficiary visits.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Photo &amp; Document Capture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Users can upload photographs, documents, supporting evidence, and other programme records directly through the application.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Automated Workflows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Notifications, approvals, alerts, document generation, and other repetitive processes can be automated wherever applicable.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Validation &amp; Data Quality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Mandatory fields, validation rules, dependent dropdowns, and automated calculations can improve data accuracy.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Scalable Architecture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New projects, locations, users, questionnaires, and programme modules can be added as programme requirements grow.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Dashboard &amp; Reporting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Management-level dashboards and operational reports can be created for programme monitoring and decision-making.</w:t>
            </w:r>
          </w:p>
        </w:tc>
      </w:tr>
      <w:tr>
        <w:trPr>
          <w:cantSplit/>
        </w:trPr>
        <w:tc>
          <w:tcPr>
            <w:tcW w:type="dxa" w:w="4720"/>
            <w:tcBorders>
              <w:top w:val="nil"/>
              <w:left w:val="single" w:sz="24" w:color="0E7C86"/>
              <w:bottom w:val="single" w:sz="4" w:color="D5DCE6"/>
              <w:right w:val="nil"/>
            </w:tcBorders>
            <w:shd w:val="clear" w:color="auto" w:fill="F3F6FA"/>
            <w:tcMar>
              <w:top w:w="90" w:type="dxa"/>
              <w:left w:w="150" w:type="dxa"/>
              <w:bottom w:w="90" w:type="dxa"/>
              <w:right w:w="11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12294A"/>
                <w:sz w:val="20"/>
              </w:rPr>
              <w:t>Secure Access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333B47"/>
                <w:sz w:val="19"/>
              </w:rPr>
              <w:t>Authentication and role-based data restrictions can be configured so users access only authorized programme information.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nil"/>
              <w:right w:val="nil"/>
            </w:tcBorders>
          </w:tcPr>
          <w:p/>
        </w:tc>
      </w:tr>
    </w:tbl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3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DEVELOPMENT &amp; IMPLEMENTATION SCOPE</w:t>
            </w:r>
          </w:p>
        </w:tc>
      </w:tr>
    </w:tbl>
    <w:p>
      <w:pPr>
        <w:spacing w:after="0" w:line="120" w:lineRule="exact"/>
      </w:pPr>
    </w:p>
    <w:p>
      <w:pPr>
        <w:spacing w:after="80"/>
      </w:pPr>
      <w:r>
        <w:rPr>
          <w:b w:val="0"/>
          <w:i w:val="0"/>
        </w:rPr>
        <w:t>The development cost will cover: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01   </w:t>
            </w:r>
            <w:r>
              <w:rPr>
                <w:b w:val="0"/>
                <w:i w:val="0"/>
                <w:sz w:val="20"/>
              </w:rPr>
              <w:t>Requirement analysis and workflow finalization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02   </w:t>
            </w:r>
            <w:r>
              <w:rPr>
                <w:b w:val="0"/>
                <w:i w:val="0"/>
                <w:sz w:val="20"/>
              </w:rPr>
              <w:t>Database and application architecture</w:t>
            </w:r>
          </w:p>
        </w:tc>
      </w:tr>
      <w:tr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03   </w:t>
            </w:r>
            <w:r>
              <w:rPr>
                <w:b w:val="0"/>
                <w:i w:val="0"/>
                <w:sz w:val="20"/>
              </w:rPr>
              <w:t>UI/UX configuration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04   </w:t>
            </w:r>
            <w:r>
              <w:rPr>
                <w:b w:val="0"/>
                <w:i w:val="0"/>
                <w:sz w:val="20"/>
              </w:rPr>
              <w:t>Development of agreed modules</w:t>
            </w:r>
          </w:p>
        </w:tc>
      </w:tr>
      <w:tr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05   </w:t>
            </w:r>
            <w:r>
              <w:rPr>
                <w:b w:val="0"/>
                <w:i w:val="0"/>
                <w:sz w:val="20"/>
              </w:rPr>
              <w:t>Forms, views and dashboards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06   </w:t>
            </w:r>
            <w:r>
              <w:rPr>
                <w:b w:val="0"/>
                <w:i w:val="0"/>
                <w:sz w:val="20"/>
              </w:rPr>
              <w:t>Role-based access configuration</w:t>
            </w:r>
          </w:p>
        </w:tc>
      </w:tr>
      <w:tr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07   </w:t>
            </w:r>
            <w:r>
              <w:rPr>
                <w:b w:val="0"/>
                <w:i w:val="0"/>
                <w:sz w:val="20"/>
              </w:rPr>
              <w:t>Workflow automation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08   </w:t>
            </w:r>
            <w:r>
              <w:rPr>
                <w:b w:val="0"/>
                <w:i w:val="0"/>
                <w:sz w:val="20"/>
              </w:rPr>
              <w:t>Testing and bug fixing</w:t>
            </w:r>
          </w:p>
        </w:tc>
      </w:tr>
      <w:tr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09   </w:t>
            </w:r>
            <w:r>
              <w:rPr>
                <w:b w:val="0"/>
                <w:i w:val="0"/>
                <w:sz w:val="20"/>
              </w:rPr>
              <w:t>Initial deployment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40" w:type="dxa"/>
              <w:left w:w="100" w:type="dxa"/>
              <w:bottom w:w="40" w:type="dxa"/>
              <w:right w:w="60" w:type="dxa"/>
            </w:tcMar>
          </w:tcPr>
          <w:p>
            <w:pPr>
              <w:spacing w:after="0" w:before="0"/>
              <w:ind w:left="397" w:hanging="397"/>
            </w:pPr>
            <w:r>
              <w:rPr>
                <w:b/>
                <w:i w:val="0"/>
                <w:color w:val="0E7C86"/>
                <w:sz w:val="19"/>
              </w:rPr>
              <w:t xml:space="preserve">10   </w:t>
            </w:r>
            <w:r>
              <w:rPr>
                <w:b w:val="0"/>
                <w:i w:val="0"/>
                <w:sz w:val="20"/>
              </w:rPr>
              <w:t>Basic user/admin orientation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4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COMMERCIAL PROPOSAL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720"/>
            <w:tcBorders>
              <w:top w:val="nil"/>
              <w:left w:val="nil"/>
              <w:bottom w:val="single" w:sz="30" w:color="0E7C86"/>
              <w:right w:val="nil"/>
            </w:tcBorders>
            <w:shd w:val="clear" w:color="auto" w:fill="12294A"/>
            <w:tcMar>
              <w:top w:w="160" w:type="dxa"/>
              <w:left w:w="200" w:type="dxa"/>
              <w:bottom w:w="160" w:type="dxa"/>
              <w:right w:w="16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9FD3D8"/>
                <w:sz w:val="17"/>
              </w:rPr>
              <w:t>TOTAL DEVELOPMENT COST</w:t>
            </w:r>
          </w:p>
          <w:p>
            <w:pPr>
              <w:spacing w:after="0" w:before="0"/>
            </w:pPr>
            <w:r>
              <w:rPr>
                <w:b/>
                <w:i w:val="0"/>
                <w:color w:val="FFFFFF"/>
                <w:sz w:val="44"/>
              </w:rPr>
              <w:t>₹2,00,000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DCE9EC"/>
                <w:sz w:val="20"/>
              </w:rPr>
              <w:t>+ applicable GST</w:t>
            </w:r>
          </w:p>
        </w:tc>
        <w:tc>
          <w:tcPr>
            <w:tcW w:type="dxa" w:w="198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720"/>
            <w:tcBorders>
              <w:top w:val="nil"/>
              <w:left w:val="nil"/>
              <w:bottom w:val="single" w:sz="30" w:color="0E7C86"/>
              <w:right w:val="nil"/>
            </w:tcBorders>
            <w:shd w:val="clear" w:color="auto" w:fill="12294A"/>
            <w:tcMar>
              <w:top w:w="160" w:type="dxa"/>
              <w:left w:w="200" w:type="dxa"/>
              <w:bottom w:w="160" w:type="dxa"/>
              <w:right w:w="160" w:type="dxa"/>
            </w:tcMar>
          </w:tcPr>
          <w:p>
            <w:pPr>
              <w:spacing w:after="40" w:before="0"/>
            </w:pPr>
            <w:r>
              <w:rPr>
                <w:b/>
                <w:i w:val="0"/>
                <w:color w:val="9FD3D8"/>
                <w:sz w:val="17"/>
              </w:rPr>
              <w:t>ANNUAL MAINTENANCE COST</w:t>
            </w:r>
          </w:p>
          <w:p>
            <w:pPr>
              <w:spacing w:after="0" w:before="0"/>
            </w:pPr>
            <w:r>
              <w:rPr>
                <w:b/>
                <w:i w:val="0"/>
                <w:color w:val="FFFFFF"/>
                <w:sz w:val="44"/>
              </w:rPr>
              <w:t>₹1,00,000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DCE9EC"/>
                <w:sz w:val="20"/>
              </w:rPr>
              <w:t>per year + applicable GST</w:t>
            </w:r>
          </w:p>
        </w:tc>
      </w:tr>
    </w:tbl>
    <w:p>
      <w:pPr>
        <w:spacing w:after="0" w:line="20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shd w:val="clear" w:color="auto" w:fill="0E7C86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20"/>
              </w:rPr>
              <w:t>Particulars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color="auto" w:fill="0E7C86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  <w:jc w:val="right"/>
            </w:pPr>
            <w:r>
              <w:rPr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1"/>
              </w:rPr>
              <w:t>Complete Application Development &amp; Initial Deployment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  <w:jc w:val="right"/>
            </w:pPr>
            <w:r>
              <w:rPr>
                <w:b/>
                <w:i w:val="0"/>
                <w:color w:val="12294A"/>
                <w:sz w:val="21"/>
              </w:rPr>
              <w:t>₹2,00,000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1"/>
              </w:rPr>
              <w:t>GST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  <w:jc w:val="right"/>
            </w:pPr>
            <w:r>
              <w:rPr>
                <w:b/>
                <w:i w:val="0"/>
                <w:color w:val="12294A"/>
                <w:sz w:val="21"/>
              </w:rPr>
              <w:t>Extra, as applicable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1"/>
              </w:rPr>
              <w:t>Annual Maintenance Contract (AMC)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4" w:color="D5DCE6"/>
              <w:right w:val="nil"/>
            </w:tcBorders>
            <w:shd w:val="clear" w:color="auto" w:fill="F3F6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0" w:before="0"/>
              <w:jc w:val="right"/>
            </w:pPr>
            <w:r>
              <w:rPr>
                <w:b/>
                <w:i w:val="0"/>
                <w:color w:val="12294A"/>
                <w:sz w:val="21"/>
              </w:rPr>
              <w:t>₹1,00,000 per year + GST</w:t>
            </w:r>
          </w:p>
        </w:tc>
      </w:tr>
    </w:tbl>
    <w:p>
      <w:pPr>
        <w:spacing w:after="0" w:line="160" w:lineRule="exact"/>
      </w:pPr>
    </w:p>
    <w:p>
      <w:pPr>
        <w:spacing w:after="80"/>
        <w:jc w:val="both"/>
      </w:pPr>
      <w:r>
        <w:rPr>
          <w:b w:val="0"/>
          <w:i w:val="0"/>
        </w:rPr>
        <w:t>The AMC will cover routine technical support, bug fixing, application maintenance, minor modifications, workflow adjustments, and assistance with existing application modules. Major new modules, substantial redevelopment, third-party integrations, or significant changes in the agreed scope may be quoted separately after mutual discussion.</w:t>
      </w:r>
    </w:p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5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IMPORTANT COMMERCIAL NOTES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567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0E7C86"/>
                <w:sz w:val="22"/>
              </w:rPr>
              <w:t>1</w:t>
            </w:r>
          </w:p>
        </w:tc>
        <w:tc>
          <w:tcPr>
            <w:tcW w:type="dxa" w:w="9071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AppSheet, Google Workspace, cloud database, third-party API, SMS/WhatsApp, payment gateway, or other third-party subscription/license charges, if required, are not included in the above development cost unless specifically agreed in writing.</w:t>
            </w:r>
          </w:p>
        </w:tc>
      </w:tr>
      <w:tr>
        <w:trPr>
          <w:cantSplit/>
        </w:trPr>
        <w:tc>
          <w:tcPr>
            <w:tcW w:type="dxa" w:w="567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0E7C86"/>
                <w:sz w:val="22"/>
              </w:rPr>
              <w:t>2</w:t>
            </w:r>
          </w:p>
        </w:tc>
        <w:tc>
          <w:tcPr>
            <w:tcW w:type="dxa" w:w="9071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The final application scope and workflow will be frozen after detailed requirement discussions with Sir Syed Trust.</w:t>
            </w:r>
          </w:p>
        </w:tc>
      </w:tr>
      <w:tr>
        <w:trPr>
          <w:cantSplit/>
        </w:trPr>
        <w:tc>
          <w:tcPr>
            <w:tcW w:type="dxa" w:w="567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0E7C86"/>
                <w:sz w:val="22"/>
              </w:rPr>
              <w:t>3</w:t>
            </w:r>
          </w:p>
        </w:tc>
        <w:tc>
          <w:tcPr>
            <w:tcW w:type="dxa" w:w="9071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Any additional modules or major requirements outside the mutually approved scope may involve additional development charges.</w:t>
            </w:r>
          </w:p>
        </w:tc>
      </w:tr>
      <w:tr>
        <w:trPr>
          <w:cantSplit/>
        </w:trPr>
        <w:tc>
          <w:tcPr>
            <w:tcW w:type="dxa" w:w="567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0E7C86"/>
                <w:sz w:val="22"/>
              </w:rPr>
              <w:t>4</w:t>
            </w:r>
          </w:p>
        </w:tc>
        <w:tc>
          <w:tcPr>
            <w:tcW w:type="dxa" w:w="9071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Data migration from existing systems/spreadsheets will depend on the structure and quality of the existing data and will be finalized during requirement analysis.</w:t>
            </w:r>
          </w:p>
        </w:tc>
      </w:tr>
      <w:tr>
        <w:trPr>
          <w:cantSplit/>
        </w:trPr>
        <w:tc>
          <w:tcPr>
            <w:tcW w:type="dxa" w:w="567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0E7C86"/>
                <w:sz w:val="22"/>
              </w:rPr>
              <w:t>5</w:t>
            </w:r>
          </w:p>
        </w:tc>
        <w:tc>
          <w:tcPr>
            <w:tcW w:type="dxa" w:w="9071"/>
            <w:tcBorders>
              <w:top w:val="nil"/>
              <w:left w:val="nil"/>
              <w:bottom w:val="single" w:sz="4" w:color="E3E8EF"/>
              <w:right w:val="nil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Application ownership, administrative access, deployment structure, and handover arrangements will be finalized mutually before production deployment.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4"/>
            <w:tcBorders>
              <w:top w:val="nil"/>
              <w:left w:val="nil"/>
              <w:bottom w:val="nil"/>
              <w:right w:val="nil"/>
            </w:tcBorders>
            <w:shd w:val="clear" w:color="auto" w:fill="12294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6</w:t>
            </w:r>
          </w:p>
        </w:tc>
        <w:tc>
          <w:tcPr>
            <w:tcW w:type="dxa" w:w="9014"/>
            <w:tcBorders>
              <w:top w:val="nil"/>
              <w:left w:val="nil"/>
              <w:bottom w:val="single" w:sz="12" w:color="0E7C86"/>
              <w:right w:val="nil"/>
            </w:tcBorders>
            <w:tcMar>
              <w:top w:w="70" w:type="dxa"/>
              <w:left w:w="160" w:type="dxa"/>
              <w:bottom w:w="70" w:type="dxa"/>
              <w:right w:w="60" w:type="dxa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12294A"/>
                <w:sz w:val="25"/>
              </w:rPr>
              <w:t>OUR COMMITMENT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il"/>
              <w:left w:val="single" w:sz="36" w:color="0E7C86"/>
              <w:bottom w:val="nil"/>
              <w:right w:val="nil"/>
            </w:tcBorders>
            <w:shd w:val="clear" w:color="auto" w:fill="E6F2F3"/>
            <w:tcMar>
              <w:top w:w="140" w:type="dxa"/>
              <w:left w:w="220" w:type="dxa"/>
              <w:bottom w:w="140" w:type="dxa"/>
              <w:right w:w="180" w:type="dxa"/>
            </w:tcMar>
          </w:tcPr>
          <w:p>
            <w:pPr>
              <w:spacing w:after="120" w:before="0"/>
            </w:pPr>
            <w:r>
              <w:rPr>
                <w:b w:val="0"/>
                <w:i/>
                <w:color w:val="12294A"/>
                <w:sz w:val="21"/>
              </w:rPr>
              <w:t>Raijmait Quantum aims to provide Sir Syed Trust with a centralized, user-friendly, field-ready, and scalable digital MIS solution that reduces manual reporting, improves data quality, strengthens financial and programme monitoring, and enables timely decision-making for the Women Livelihood Programme.</w:t>
            </w:r>
          </w:p>
        </w:tc>
      </w:tr>
    </w:tbl>
    <w:p>
      <w:pPr>
        <w:spacing w:after="0" w:line="160" w:lineRule="exact"/>
      </w:pPr>
    </w:p>
    <w:p>
      <w:pPr>
        <w:spacing w:after="200"/>
      </w:pPr>
      <w:r>
        <w:rPr>
          <w:b w:val="0"/>
          <w:i w:val="0"/>
        </w:rPr>
        <w:t>We look forward to working with Sir Syed Trust and supporting the digital transformation of its livelihood programme.</w:t>
      </w:r>
    </w:p>
    <w:p>
      <w:pPr>
        <w:keepNext/>
        <w:spacing w:after="520"/>
      </w:pPr>
      <w:r>
        <w:rPr>
          <w:b w:val="0"/>
          <w:i w:val="0"/>
        </w:rPr>
        <w:t>Sincerely,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3685"/>
            <w:tcBorders>
              <w:top w:val="single" w:sz="8" w:color="12294A"/>
              <w:left w:val="nil"/>
              <w:bottom w:val="nil"/>
              <w:right w:val="nil"/>
            </w:tcBorders>
          </w:tcPr>
          <w:p>
            <w:pPr>
              <w:spacing w:after="0" w:before="60"/>
            </w:pPr>
            <w:r>
              <w:rPr>
                <w:b/>
                <w:i w:val="0"/>
                <w:color w:val="12294A"/>
                <w:sz w:val="21"/>
              </w:rPr>
              <w:t>For Raijmait Quantum</w:t>
            </w:r>
          </w:p>
          <w:p>
            <w:pPr>
              <w:spacing w:after="0" w:before="0"/>
            </w:pPr>
            <w:r>
              <w:rPr>
                <w:b w:val="0"/>
                <w:i w:val="0"/>
                <w:sz w:val="20"/>
              </w:rPr>
              <w:t>Authorized Signatory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5A6472"/>
                <w:sz w:val="20"/>
              </w:rPr>
              <w:t>Raijmait Quantum</w:t>
            </w:r>
          </w:p>
          <w:p>
            <w:pPr>
              <w:spacing w:after="0" w:before="0"/>
            </w:pPr>
            <w:r>
              <w:rPr>
                <w:b w:val="0"/>
                <w:i w:val="0"/>
                <w:color w:val="5A6472"/>
                <w:sz w:val="18"/>
              </w:rPr>
              <w:t>Software Development &amp; Data Management Solutions</w:t>
            </w:r>
          </w:p>
        </w:tc>
        <w:tc>
          <w:tcPr>
            <w:tcW w:type="dxa" w:w="5953"/>
            <w:tcBorders>
              <w:top w:val="nil"/>
              <w:left w:val="nil"/>
              <w:bottom w:val="nil"/>
              <w:right w:val="nil"/>
            </w:tcBorders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6" w:color="0E7C86"/>
      </w:pBdr>
      <w:jc w:val="center"/>
    </w:pPr>
    <w:r>
      <w:rPr>
        <w:b w:val="0"/>
        <w:i w:val="0"/>
        <w:color w:val="5A6472"/>
        <w:sz w:val="17"/>
      </w:rPr>
      <w:t xml:space="preserve">Confidential – Prepared for Sir Syed Trust  |  Page </w:t>
    </w:r>
    <w:r>
      <w:rPr>
        <w:color w:val="5A6472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5A6472"/>
        <w:sz w:val="16"/>
      </w:rPr>
      <w:t>Raijmait Quantum  |  Quotation: Women Livelihood Programme Management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