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19"/>
        </w:rPr>
        <w:t>Backend Verification — VERIFIED</w:t>
      </w:r>
    </w:p>
    <w:p>
      <w:pPr>
        <w:jc w:val="center"/>
      </w:pPr>
      <w:r>
        <w:rPr>
          <w:b/>
          <w:sz w:val="19"/>
        </w:rPr>
        <w:t>SIH 2026 PS26162 • dptel22/SIH_2026 • branch SIH-BACKEND/SA</w:t>
      </w:r>
    </w:p>
    <w:p>
      <w:r>
        <w:rPr>
          <w:sz w:val="19"/>
        </w:rPr>
        <w:t>Scope: close the repo-blocked findings from the PDF-only review and re-check the previously flagged items against the actual GitHub repository. Repository access succeeded. The branch was compared against the supplied base/head pair: 922d209810bb98a06c4d92bf74dad4255d3c2eb8 over 3647015a4edf7176222f12a05cb6bd1574f597c8.</w:t>
      </w:r>
    </w:p>
    <w:p>
      <w:pPr>
        <w:pStyle w:val="Heading1"/>
      </w:pPr>
      <w:r>
        <w:rPr>
          <w:sz w:val="19"/>
        </w:rPr>
        <w:t>Evidence and authority used</w:t>
      </w:r>
    </w:p>
    <w:p>
      <w:pPr>
        <w:pStyle w:val="ListBullet"/>
      </w:pPr>
      <w:r>
        <w:rPr>
          <w:sz w:val="19"/>
        </w:rPr>
        <w:t>Actual repository code on SIH-BACKEND/SA, including app/, pipeline/, data/, tests/, requirements.txt, README.md, BACKEND_DOCUMENTATION.md and CI workflow files.</w:t>
      </w:r>
    </w:p>
    <w:p>
      <w:pPr>
        <w:pStyle w:val="ListBullet"/>
      </w:pPr>
      <w:r>
        <w:rPr>
          <w:sz w:val="19"/>
        </w:rPr>
        <w:t>Current project evidence record: SIH_2026_26162_Technical_Findings_and_Backend_Summary_updated.docx. It records the executed 52-column enriched table, the 21-column Phase 9 base table, the locked four-class taxonomy, and the fact that a validated confidence cutoff and final four-class target/model are not established.</w:t>
      </w:r>
    </w:p>
    <w:p>
      <w:pPr>
        <w:pStyle w:val="ListBullet"/>
      </w:pPr>
      <w:r>
        <w:rPr>
          <w:sz w:val="19"/>
        </w:rPr>
        <w:t>The uploaded architecture/UI blueprints and CatBoost/geospatial research documents were treated as architecture/research evidence, not as proof of implementation.</w:t>
      </w:r>
    </w:p>
    <w:p>
      <w:pPr>
        <w:pStyle w:val="ListBullet"/>
      </w:pPr>
      <w:r>
        <w:rPr>
          <w:sz w:val="19"/>
        </w:rPr>
        <w:t>The uploaded Backend_Architecture_Pre_Implementation_Verification_Brief.md was treated as the review checklist, not as repository evidence.</w:t>
      </w:r>
    </w:p>
    <w:p>
      <w:pPr>
        <w:pStyle w:val="Heading1"/>
      </w:pPr>
      <w:r>
        <w:rPr>
          <w:sz w:val="19"/>
        </w:rPr>
        <w:t>Executive result</w:t>
      </w:r>
    </w:p>
    <w:p>
      <w:r>
        <w:rPr>
          <w:sz w:val="19"/>
        </w:rPr>
        <w:t>The branch is not a thin serving layer around the real ML pipeline. It contains a second, point-level feature-engineering/training path built around synthetic data and a six-class concept. Several advertised capabilities are therefore materially ahead of the code. The most serious newly verified defects are that app/services/feature_store.py is referenced but absent from the branch, settings.TARGET_CLASSES is referenced but not defined, the CI backend job points at ./backend even though the branch's tests are at ./tests, and the audit database is not actually immutable at the database layer.</w:t>
      </w:r>
    </w:p>
    <w:p>
      <w:pPr>
        <w:pStyle w:val="Heading1"/>
      </w:pPr>
      <w:r>
        <w:rPr>
          <w:sz w:val="19"/>
        </w:rPr>
        <w:t>Current ML / labeling status — update after verification</w:t>
      </w:r>
    </w:p>
    <w:p>
      <w:r>
        <w:rPr>
          <w:sz w:val="19"/>
        </w:rPr>
        <w:t>The next gating check is per-state/per-class support for the actual label column under the current geographic split. Overall class totals do not establish that every train/test state meets the project's minimum support requirement.</w:t>
      </w:r>
    </w:p>
    <w:p>
      <w:r>
        <w:rPr>
          <w:sz w:val="19"/>
        </w:rPr>
        <w:t>The mining spot-check passed the immediate data-quality sanity check: the sampled rows were concentrated in recognizable mining belts and the minimum OSM distance distribution was smooth (0.019–4.986 km). The sampled mineshaft/adit distances were nevertheless very large, so the current mining bootstrap is functionally driven by quarry proximity. This should be described as an OSM coverage limitation, not as evidence that the spatial join is broken.</w:t>
      </w:r>
    </w:p>
    <w:p>
      <w:r>
        <w:rPr>
          <w:sz w:val="19"/>
        </w:rPr>
        <w:t>Approximately 56.45% of the 1,718,002 H3-day rows remain unlabeled and are excluded from the current supervised training set by design. This is a training-coverage fact, not a fifth trained 'unclassified' class.</w:t>
      </w:r>
    </w:p>
    <w:p>
      <w:r>
        <w:rPr>
          <w:sz w:val="19"/>
        </w:rPr>
        <w:t>The wildfire/agricultural_burn precedence issue has been corrected. The observed result was agricultural_burn: 7,946 → 20,033 and industrial: down by 12,087 to 532,087, while mining and wildfire were unchanged. This is consistent with the intended rule-order correction, but it remains bootstrap-label logic rather than ground-truth validation.</w:t>
      </w:r>
    </w:p>
    <w:p>
      <w:r>
        <w:rPr>
          <w:sz w:val="19"/>
        </w:rPr>
        <w:t>The current working taxonomy is four trained classes — industrial, mining, agricultural_burn, and wildfire — with unclassified intended as a post-training confidence fallback. The fallback threshold remains unvalidated, so no numeric cutoff should be documented as final.</w:t>
      </w:r>
    </w:p>
    <w:p>
      <w:r>
        <w:rPr>
          <w:sz w:val="19"/>
        </w:rPr>
        <w:t>The project has progressed beyond the state captured by the original verification report: the Phase 6 label bootstrap has now been executed in the working notebook. This is currently a notebook/workspace result; it is not yet proof of a persisted canonical training artifact.</w:t>
      </w:r>
    </w:p>
    <w:p>
      <w:pPr>
        <w:pStyle w:val="Heading1"/>
      </w:pPr>
      <w:r>
        <w:rPr>
          <w:sz w:val="19"/>
        </w:rPr>
        <w:t>Verified true</w:t>
      </w:r>
    </w:p>
    <w:p>
      <w:pPr>
        <w:pStyle w:val="Heading2"/>
      </w:pPr>
      <w:r>
        <w:rPr>
          <w:sz w:val="19"/>
        </w:rPr>
        <w:t>1. The backend has its own feature-engineering/H3 code.</w:t>
      </w:r>
    </w:p>
    <w:p>
      <w:r>
        <w:rPr>
          <w:sz w:val="19"/>
        </w:rPr>
        <w:t>pipeline/feature_engineering.py:15-30 defines engineer_features() and performs H3 conversion; pipeline/feature_engineering.py:32-53 coerces point-level categorical fields and computes persistence_90d_norm. The training script imports and calls it at pipeline/train_catboost.py:13,35-40. This is a genuine duplicate pipeline path.</w:t>
      </w:r>
    </w:p>
    <w:p>
      <w:pPr>
        <w:pStyle w:val="Heading2"/>
      </w:pPr>
      <w:r>
        <w:rPr>
          <w:sz w:val="19"/>
        </w:rPr>
        <w:t>3. spatial_cv.py is live code, not dead code.</w:t>
      </w:r>
    </w:p>
    <w:p>
      <w:r>
        <w:rPr>
          <w:sz w:val="19"/>
        </w:rPr>
        <w:t>pipeline/train_catboost.py:14 imports SpatialKFold; pipeline/train_catboost.py:45-50 instantiates it with a 50 km buffer and iterates over skf.split(). pipeline/spatial_cv.py:27-46 actually performs KMeans clustering on latitude/longitude and distance filtering. The previous finding that this code was merely unused is false.</w:t>
      </w:r>
    </w:p>
    <w:p>
      <w:pPr>
        <w:pStyle w:val="Heading2"/>
      </w:pPr>
      <w:r>
        <w:rPr>
          <w:sz w:val="19"/>
        </w:rPr>
        <w:t>4. Seven backend tests exist.</w:t>
      </w:r>
    </w:p>
    <w:p>
      <w:r>
        <w:rPr>
          <w:sz w:val="19"/>
        </w:rPr>
        <w:t>tests/test_backend.py contains exactly seven test functions: test_h3_indexing (line 19), test_feature_engineering_persistence_normalization (25), test_spatial_cross_validation_split (43), test_api_root_and_health (59), test_classify_and_explain_endpoints (67), test_ingestion_dead_letter_queue (102), and test_audit_override (144).</w:t>
      </w:r>
    </w:p>
    <w:p>
      <w:pPr>
        <w:pStyle w:val="Heading1"/>
      </w:pPr>
      <w:r>
        <w:rPr>
          <w:sz w:val="19"/>
        </w:rPr>
        <w:t>Verified false / corrected</w:t>
      </w:r>
    </w:p>
    <w:p>
      <w:pPr>
        <w:pStyle w:val="Heading2"/>
      </w:pPr>
      <w:r>
        <w:rPr>
          <w:sz w:val="19"/>
        </w:rPr>
        <w:t>2. “Immutable audit log” is NOT verified; only application-level INSERT-only behavior exists.</w:t>
      </w:r>
    </w:p>
    <w:p>
      <w:r>
        <w:rPr>
          <w:sz w:val="19"/>
        </w:rPr>
        <w:t>The prior claim must be corrected. app/services/audit_service.py:16-31 creates the DuckDB table but contains no REVOKE UPDATE/DELETE, ownership separation, trigger, or other database immutability mechanism. app/services/audit_service.py:33-49 performs INSERT only, and get_logs uses read_only=True at lines 58-74. That is an application convention, not database-enforced immutability. No migration/schema file implementing DB grants was added in the branch's three-commit diff.</w:t>
      </w:r>
    </w:p>
    <w:p>
      <w:pPr>
        <w:pStyle w:val="Heading2"/>
      </w:pPr>
      <w:r>
        <w:rPr>
          <w:sz w:val="19"/>
        </w:rPr>
        <w:t>4. The seven tests do NOT validate the real 52-column schema, and the claimed test execution path is broken.</w:t>
      </w:r>
    </w:p>
    <w:p>
      <w:r>
        <w:rPr>
          <w:sz w:val="19"/>
        </w:rPr>
        <w:t>The tests are synthetic/point-level. The feature-engineering test constructs a tiny DataFrame with persistence_90d and observed_days_in_90d (tests/test_backend.py:25-41); the API tests use a hand-built raw FIRMS payload (67-101); the ingestion test uses another hand-built payload (102-143). None loads the real 52-column enriched H3-day table. The CI workflow also runs from ./backend while the tests are at ./tests: .github/workflows/test.yml:10-15. Its test step is conditional on backend/tests/**/*.py and therefore does not target this branch's tests (.github/workflows/test.yml:32-36).</w:t>
      </w:r>
    </w:p>
    <w:p>
      <w:pPr>
        <w:pStyle w:val="Heading2"/>
      </w:pPr>
      <w:r>
        <w:rPr>
          <w:sz w:val="19"/>
        </w:rPr>
        <w:t>5. Taxonomy is internally contradictory; the repository is not cleanly four-class.</w:t>
      </w:r>
    </w:p>
    <w:p>
      <w:r>
        <w:rPr>
          <w:sz w:val="19"/>
        </w:rPr>
        <w:t>app/core/config.py:21-29 defines DEFAULT_TRAINED_CLASSES as exactly [industrial, mining, agricultural_burn, wildfire], which agrees with the current four-class project decision. But data/mock_generator.py:18,35-41 and 44-84 contains the old six-class logic, including Wildfire, Agricultural Burn, Industrial/Gas Flare, Mining Activity, Urban/Infrastructure, and False Positive/Noise, and randomly samples class indices [0,1,2,3,4,5] at line 39. tests/test_backend.py:59-65 also expects six classes. BACKEND_DOCUMENTATION.md and README.md advertise six classes. Therefore “the code is six-class” is too broad, but “the code is four-class” is also false. The correct finding is that the branch contains a four-class config alongside multiple six-class execution/documentation paths.</w:t>
      </w:r>
    </w:p>
    <w:p>
      <w:pPr>
        <w:pStyle w:val="Heading2"/>
      </w:pPr>
      <w:r>
        <w:rPr>
          <w:sz w:val="19"/>
        </w:rPr>
        <w:t>6. The backend feature schema does not match the real 52-column enriched schema.</w:t>
      </w:r>
    </w:p>
    <w:p>
      <w:r>
        <w:rPr>
          <w:sz w:val="19"/>
        </w:rPr>
        <w:t>The backend defines 15 expected inference fields in app/core/config.py:32-46: four categorical fields (h3_index, satellite, daynight, landuse_tag) plus eleven numeric fields (brightness, scan, track, frp, bright_t31, confidence, persistence_90d_norm, distance_to_water_km, distance_to_road_km, canopy_cover_pct, is_static_source). The current project evidence records 52 enriched columns, listed below. Only daynight is a verbatim overlap. h3_index is not the documented h3_08 key, and the remaining point-level fields are not the H3-day aggregates/enrichments used by the real feature product.</w:t>
      </w:r>
    </w:p>
    <w:p>
      <w:pPr>
        <w:pStyle w:val="Heading2"/>
      </w:pPr>
      <w:r>
        <w:rPr>
          <w:sz w:val="19"/>
        </w:rPr>
        <w:t>7. train_catboost.py is a primary quickstart/training path, not a clearly separated fallback.</w:t>
      </w:r>
    </w:p>
    <w:p>
      <w:r>
        <w:rPr>
          <w:sz w:val="19"/>
        </w:rPr>
        <w:t>The branch documentation tells users to run python pipeline/train_catboost.py and describes it as the CatBoost training pipeline. BACKEND_DOCUMENTATION.md: API/Quickstart sections and the branch README's Quickstart section present this as the normal training command. The script itself loads data/sample_firms.csv and generates synthetic data if absent (pipeline/train_catboost.py:22-26), then trains a final CatBoost model (79-93). There is no explicit production-vs-demo separation.</w:t>
      </w:r>
    </w:p>
    <w:p>
      <w:pPr>
        <w:pStyle w:val="Heading2"/>
      </w:pPr>
      <w:r>
        <w:rPr>
          <w:sz w:val="19"/>
        </w:rPr>
        <w:t>8. /classify accepts a raw FIRMSRecord, not {h3_08, acq_date}.</w:t>
      </w:r>
    </w:p>
    <w:p>
      <w:r>
        <w:rPr>
          <w:sz w:val="19"/>
        </w:rPr>
        <w:t>app/api/endpoints/classify.py:10-18 declares POST /classify with record: FIRMSRecord. app/schemas/firms.py:5-23 defines raw point fields including latitude, longitude, brightness, scan, track, acq_date, acq_time, satellite, confidence, bright_t31, frp, daynight, observed_days_in_90d, persistence_90d and type. It does not define h3_08 as the request key.</w:t>
      </w:r>
    </w:p>
    <w:p>
      <w:pPr>
        <w:pStyle w:val="Heading2"/>
      </w:pPr>
      <w:r>
        <w:rPr>
          <w:sz w:val="19"/>
        </w:rPr>
        <w:t>9. No validated numeric confidence threshold is hardcoded in the inference/policy path.</w:t>
      </w:r>
    </w:p>
    <w:p>
      <w:r>
        <w:rPr>
          <w:sz w:val="19"/>
        </w:rPr>
        <w:t>app/core/config.py:28 sets UNCLASSIFIED_THRESHOLD to None. The model service never applies a confidence cutoff; it selects argmax probability at app/services/model_service.py:56-74 and 109 onward. The current project evidence explicitly says the confidence threshold has not been validated. Therefore no numeric unclassified cutoff should be inferred from the branch.</w:t>
      </w:r>
    </w:p>
    <w:p>
      <w:pPr>
        <w:pStyle w:val="Heading2"/>
      </w:pPr>
      <w:r>
        <w:rPr>
          <w:sz w:val="19"/>
        </w:rPr>
        <w:t>10. Redis/Celery are not wired or required by the current branch.</w:t>
      </w:r>
    </w:p>
    <w:p>
      <w:r>
        <w:rPr>
          <w:sz w:val="19"/>
        </w:rPr>
        <w:t>requirements.txt contains FastAPI, CatBoost, SHAP, DuckDB, H3, sklearn, geopy and related packages, but no redis or celery dependency. The branch contains no Redis/Celery service implementation. Ingestion is implemented as a synchronous function despite its async wording (app/api/endpoints/ingest.py:10-43); BackgroundTasks is imported but unused. The DLQ is a process-local Python list at line 8, not Redis or persistent queue storage.</w:t>
      </w:r>
    </w:p>
    <w:p>
      <w:pPr>
        <w:pStyle w:val="Heading2"/>
      </w:pPr>
      <w:r>
        <w:rPr>
          <w:sz w:val="19"/>
        </w:rPr>
        <w:t>Exact 52-column project schema vs backend expected inference schema</w:t>
      </w:r>
    </w:p>
    <w:p>
      <w:r>
        <w:rPr>
          <w:sz w:val="19"/>
        </w:rPr>
        <w:t>The current project evidence states that the executed enriched table has exactly 52 columns. Its Phase 9 feature manifest contains 21 base columns: 2 identifiers, 1 target, 1 label mask, and 17 typed feature fields. Excluding the target and label mask leaves 15 Phase 9 candidate predictors. The 52-column enriched table additionally contains H3 centroid/state, 16 WRI fields, and 12 OSM fields. The evidence does not establish a final four-class trained feature subset. The recent labeling work changes label availability, not the underlying 52-column schema.</w:t>
      </w:r>
    </w:p>
    <w:tbl>
      <w:tblPr>
        <w:tblStyle w:val="TableGrid"/>
        <w:tblW w:type="auto" w:w="0"/>
        <w:jc w:val="center"/>
        <w:tblLook w:firstColumn="1" w:firstRow="1" w:lastColumn="0" w:lastRow="0" w:noHBand="0" w:noVBand="1" w:val="04A0"/>
      </w:tblPr>
      <w:tblGrid>
        <w:gridCol w:w="5112"/>
        <w:gridCol w:w="5112"/>
      </w:tblGrid>
      <w:tr>
        <w:tc>
          <w:tcPr>
            <w:tcW w:type="dxa" w:w="5112"/>
            <w:vAlign w:val="top"/>
          </w:tcPr>
          <w:p>
            <w:r>
              <w:rPr>
                <w:rFonts w:ascii="Aptos" w:hAnsi="Aptos"/>
                <w:sz w:val="16"/>
              </w:rPr>
              <w:t>Backend expects (15)</w:t>
            </w:r>
          </w:p>
        </w:tc>
        <w:tc>
          <w:tcPr>
            <w:tcW w:type="dxa" w:w="5112"/>
            <w:vAlign w:val="top"/>
          </w:tcPr>
          <w:p>
            <w:r>
              <w:rPr>
                <w:rFonts w:ascii="Aptos" w:hAnsi="Aptos"/>
                <w:sz w:val="16"/>
              </w:rPr>
              <w:t>Verbatim relation to 52-column table</w:t>
            </w:r>
          </w:p>
        </w:tc>
      </w:tr>
      <w:tr>
        <w:tc>
          <w:tcPr>
            <w:tcW w:type="dxa" w:w="5112"/>
            <w:vAlign w:val="top"/>
          </w:tcPr>
          <w:p>
            <w:r>
              <w:rPr>
                <w:rFonts w:ascii="Aptos" w:hAnsi="Aptos"/>
                <w:sz w:val="16"/>
              </w:rPr>
              <w:t>h3_index</w:t>
            </w:r>
          </w:p>
        </w:tc>
        <w:tc>
          <w:tcPr>
            <w:tcW w:type="dxa" w:w="5112"/>
            <w:vAlign w:val="top"/>
          </w:tcPr>
          <w:p>
            <w:r>
              <w:rPr>
                <w:rFonts w:ascii="Aptos" w:hAnsi="Aptos"/>
                <w:sz w:val="16"/>
              </w:rPr>
              <w:t>NOT PRESENT</w:t>
            </w:r>
          </w:p>
        </w:tc>
      </w:tr>
      <w:tr>
        <w:tc>
          <w:tcPr>
            <w:tcW w:type="dxa" w:w="5112"/>
            <w:vAlign w:val="top"/>
          </w:tcPr>
          <w:p>
            <w:r>
              <w:rPr>
                <w:rFonts w:ascii="Aptos" w:hAnsi="Aptos"/>
                <w:sz w:val="16"/>
              </w:rPr>
              <w:t>satellite</w:t>
            </w:r>
          </w:p>
        </w:tc>
        <w:tc>
          <w:tcPr>
            <w:tcW w:type="dxa" w:w="5112"/>
            <w:vAlign w:val="top"/>
          </w:tcPr>
          <w:p>
            <w:r>
              <w:rPr>
                <w:rFonts w:ascii="Aptos" w:hAnsi="Aptos"/>
                <w:sz w:val="16"/>
              </w:rPr>
              <w:t>NOT PRESENT</w:t>
            </w:r>
          </w:p>
        </w:tc>
      </w:tr>
      <w:tr>
        <w:tc>
          <w:tcPr>
            <w:tcW w:type="dxa" w:w="5112"/>
            <w:vAlign w:val="top"/>
          </w:tcPr>
          <w:p>
            <w:r>
              <w:rPr>
                <w:rFonts w:ascii="Aptos" w:hAnsi="Aptos"/>
                <w:sz w:val="16"/>
              </w:rPr>
              <w:t>daynight</w:t>
            </w:r>
          </w:p>
        </w:tc>
        <w:tc>
          <w:tcPr>
            <w:tcW w:type="dxa" w:w="5112"/>
            <w:vAlign w:val="top"/>
          </w:tcPr>
          <w:p>
            <w:r>
              <w:rPr>
                <w:rFonts w:ascii="Aptos" w:hAnsi="Aptos"/>
                <w:sz w:val="16"/>
              </w:rPr>
              <w:t>OVERLAP</w:t>
            </w:r>
          </w:p>
        </w:tc>
      </w:tr>
      <w:tr>
        <w:tc>
          <w:tcPr>
            <w:tcW w:type="dxa" w:w="5112"/>
            <w:vAlign w:val="top"/>
          </w:tcPr>
          <w:p>
            <w:r>
              <w:rPr>
                <w:rFonts w:ascii="Aptos" w:hAnsi="Aptos"/>
                <w:sz w:val="16"/>
              </w:rPr>
              <w:t>landuse_tag</w:t>
            </w:r>
          </w:p>
        </w:tc>
        <w:tc>
          <w:tcPr>
            <w:tcW w:type="dxa" w:w="5112"/>
            <w:vAlign w:val="top"/>
          </w:tcPr>
          <w:p>
            <w:r>
              <w:rPr>
                <w:rFonts w:ascii="Aptos" w:hAnsi="Aptos"/>
                <w:sz w:val="16"/>
              </w:rPr>
              <w:t>NOT PRESENT</w:t>
            </w:r>
          </w:p>
        </w:tc>
      </w:tr>
      <w:tr>
        <w:tc>
          <w:tcPr>
            <w:tcW w:type="dxa" w:w="5112"/>
            <w:vAlign w:val="top"/>
          </w:tcPr>
          <w:p>
            <w:r>
              <w:rPr>
                <w:rFonts w:ascii="Aptos" w:hAnsi="Aptos"/>
                <w:sz w:val="16"/>
              </w:rPr>
              <w:t>brightness</w:t>
            </w:r>
          </w:p>
        </w:tc>
        <w:tc>
          <w:tcPr>
            <w:tcW w:type="dxa" w:w="5112"/>
            <w:vAlign w:val="top"/>
          </w:tcPr>
          <w:p>
            <w:r>
              <w:rPr>
                <w:rFonts w:ascii="Aptos" w:hAnsi="Aptos"/>
                <w:sz w:val="16"/>
              </w:rPr>
              <w:t>NOT PRESENT</w:t>
            </w:r>
          </w:p>
        </w:tc>
      </w:tr>
      <w:tr>
        <w:tc>
          <w:tcPr>
            <w:tcW w:type="dxa" w:w="5112"/>
            <w:vAlign w:val="top"/>
          </w:tcPr>
          <w:p>
            <w:r>
              <w:rPr>
                <w:rFonts w:ascii="Aptos" w:hAnsi="Aptos"/>
                <w:sz w:val="16"/>
              </w:rPr>
              <w:t>scan</w:t>
            </w:r>
          </w:p>
        </w:tc>
        <w:tc>
          <w:tcPr>
            <w:tcW w:type="dxa" w:w="5112"/>
            <w:vAlign w:val="top"/>
          </w:tcPr>
          <w:p>
            <w:r>
              <w:rPr>
                <w:rFonts w:ascii="Aptos" w:hAnsi="Aptos"/>
                <w:sz w:val="16"/>
              </w:rPr>
              <w:t>NOT PRESENT</w:t>
            </w:r>
          </w:p>
        </w:tc>
      </w:tr>
      <w:tr>
        <w:tc>
          <w:tcPr>
            <w:tcW w:type="dxa" w:w="5112"/>
            <w:vAlign w:val="top"/>
          </w:tcPr>
          <w:p>
            <w:r>
              <w:rPr>
                <w:rFonts w:ascii="Aptos" w:hAnsi="Aptos"/>
                <w:sz w:val="16"/>
              </w:rPr>
              <w:t>track</w:t>
            </w:r>
          </w:p>
        </w:tc>
        <w:tc>
          <w:tcPr>
            <w:tcW w:type="dxa" w:w="5112"/>
            <w:vAlign w:val="top"/>
          </w:tcPr>
          <w:p>
            <w:r>
              <w:rPr>
                <w:rFonts w:ascii="Aptos" w:hAnsi="Aptos"/>
                <w:sz w:val="16"/>
              </w:rPr>
              <w:t>NOT PRESENT</w:t>
            </w:r>
          </w:p>
        </w:tc>
      </w:tr>
      <w:tr>
        <w:tc>
          <w:tcPr>
            <w:tcW w:type="dxa" w:w="5112"/>
            <w:vAlign w:val="top"/>
          </w:tcPr>
          <w:p>
            <w:r>
              <w:rPr>
                <w:rFonts w:ascii="Aptos" w:hAnsi="Aptos"/>
                <w:sz w:val="16"/>
              </w:rPr>
              <w:t>frp</w:t>
            </w:r>
          </w:p>
        </w:tc>
        <w:tc>
          <w:tcPr>
            <w:tcW w:type="dxa" w:w="5112"/>
            <w:vAlign w:val="top"/>
          </w:tcPr>
          <w:p>
            <w:r>
              <w:rPr>
                <w:rFonts w:ascii="Aptos" w:hAnsi="Aptos"/>
                <w:sz w:val="16"/>
              </w:rPr>
              <w:t>NOT PRESENT</w:t>
            </w:r>
          </w:p>
        </w:tc>
      </w:tr>
      <w:tr>
        <w:tc>
          <w:tcPr>
            <w:tcW w:type="dxa" w:w="5112"/>
            <w:vAlign w:val="top"/>
          </w:tcPr>
          <w:p>
            <w:r>
              <w:rPr>
                <w:rFonts w:ascii="Aptos" w:hAnsi="Aptos"/>
                <w:sz w:val="16"/>
              </w:rPr>
              <w:t>bright_t31</w:t>
            </w:r>
          </w:p>
        </w:tc>
        <w:tc>
          <w:tcPr>
            <w:tcW w:type="dxa" w:w="5112"/>
            <w:vAlign w:val="top"/>
          </w:tcPr>
          <w:p>
            <w:r>
              <w:rPr>
                <w:rFonts w:ascii="Aptos" w:hAnsi="Aptos"/>
                <w:sz w:val="16"/>
              </w:rPr>
              <w:t>NOT PRESENT</w:t>
            </w:r>
          </w:p>
        </w:tc>
      </w:tr>
      <w:tr>
        <w:tc>
          <w:tcPr>
            <w:tcW w:type="dxa" w:w="5112"/>
            <w:vAlign w:val="top"/>
          </w:tcPr>
          <w:p>
            <w:r>
              <w:rPr>
                <w:rFonts w:ascii="Aptos" w:hAnsi="Aptos"/>
                <w:sz w:val="16"/>
              </w:rPr>
              <w:t>confidence</w:t>
            </w:r>
          </w:p>
        </w:tc>
        <w:tc>
          <w:tcPr>
            <w:tcW w:type="dxa" w:w="5112"/>
            <w:vAlign w:val="top"/>
          </w:tcPr>
          <w:p>
            <w:r>
              <w:rPr>
                <w:rFonts w:ascii="Aptos" w:hAnsi="Aptos"/>
                <w:sz w:val="16"/>
              </w:rPr>
              <w:t>NOT PRESENT</w:t>
            </w:r>
          </w:p>
        </w:tc>
      </w:tr>
      <w:tr>
        <w:tc>
          <w:tcPr>
            <w:tcW w:type="dxa" w:w="5112"/>
            <w:vAlign w:val="top"/>
          </w:tcPr>
          <w:p>
            <w:r>
              <w:rPr>
                <w:rFonts w:ascii="Aptos" w:hAnsi="Aptos"/>
                <w:sz w:val="16"/>
              </w:rPr>
              <w:t>persistence_90d_norm</w:t>
            </w:r>
          </w:p>
        </w:tc>
        <w:tc>
          <w:tcPr>
            <w:tcW w:type="dxa" w:w="5112"/>
            <w:vAlign w:val="top"/>
          </w:tcPr>
          <w:p>
            <w:r>
              <w:rPr>
                <w:rFonts w:ascii="Aptos" w:hAnsi="Aptos"/>
                <w:sz w:val="16"/>
              </w:rPr>
              <w:t>NOT PRESENT</w:t>
            </w:r>
          </w:p>
        </w:tc>
      </w:tr>
      <w:tr>
        <w:tc>
          <w:tcPr>
            <w:tcW w:type="dxa" w:w="5112"/>
            <w:vAlign w:val="top"/>
          </w:tcPr>
          <w:p>
            <w:r>
              <w:rPr>
                <w:rFonts w:ascii="Aptos" w:hAnsi="Aptos"/>
                <w:sz w:val="16"/>
              </w:rPr>
              <w:t>distance_to_water_km</w:t>
            </w:r>
          </w:p>
        </w:tc>
        <w:tc>
          <w:tcPr>
            <w:tcW w:type="dxa" w:w="5112"/>
            <w:vAlign w:val="top"/>
          </w:tcPr>
          <w:p>
            <w:r>
              <w:rPr>
                <w:rFonts w:ascii="Aptos" w:hAnsi="Aptos"/>
                <w:sz w:val="16"/>
              </w:rPr>
              <w:t>NOT PRESENT</w:t>
            </w:r>
          </w:p>
        </w:tc>
      </w:tr>
      <w:tr>
        <w:tc>
          <w:tcPr>
            <w:tcW w:type="dxa" w:w="5112"/>
            <w:vAlign w:val="top"/>
          </w:tcPr>
          <w:p>
            <w:r>
              <w:rPr>
                <w:rFonts w:ascii="Aptos" w:hAnsi="Aptos"/>
                <w:sz w:val="16"/>
              </w:rPr>
              <w:t>distance_to_road_km</w:t>
            </w:r>
          </w:p>
        </w:tc>
        <w:tc>
          <w:tcPr>
            <w:tcW w:type="dxa" w:w="5112"/>
            <w:vAlign w:val="top"/>
          </w:tcPr>
          <w:p>
            <w:r>
              <w:rPr>
                <w:rFonts w:ascii="Aptos" w:hAnsi="Aptos"/>
                <w:sz w:val="16"/>
              </w:rPr>
              <w:t>NOT PRESENT</w:t>
            </w:r>
          </w:p>
        </w:tc>
      </w:tr>
      <w:tr>
        <w:tc>
          <w:tcPr>
            <w:tcW w:type="dxa" w:w="5112"/>
            <w:vAlign w:val="top"/>
          </w:tcPr>
          <w:p>
            <w:r>
              <w:rPr>
                <w:rFonts w:ascii="Aptos" w:hAnsi="Aptos"/>
                <w:sz w:val="16"/>
              </w:rPr>
              <w:t>canopy_cover_pct</w:t>
            </w:r>
          </w:p>
        </w:tc>
        <w:tc>
          <w:tcPr>
            <w:tcW w:type="dxa" w:w="5112"/>
            <w:vAlign w:val="top"/>
          </w:tcPr>
          <w:p>
            <w:r>
              <w:rPr>
                <w:rFonts w:ascii="Aptos" w:hAnsi="Aptos"/>
                <w:sz w:val="16"/>
              </w:rPr>
              <w:t>NOT PRESENT</w:t>
            </w:r>
          </w:p>
        </w:tc>
      </w:tr>
      <w:tr>
        <w:tc>
          <w:tcPr>
            <w:tcW w:type="dxa" w:w="5112"/>
            <w:vAlign w:val="top"/>
          </w:tcPr>
          <w:p>
            <w:r>
              <w:rPr>
                <w:rFonts w:ascii="Aptos" w:hAnsi="Aptos"/>
                <w:sz w:val="16"/>
              </w:rPr>
              <w:t>is_static_source</w:t>
            </w:r>
          </w:p>
        </w:tc>
        <w:tc>
          <w:tcPr>
            <w:tcW w:type="dxa" w:w="5112"/>
            <w:vAlign w:val="top"/>
          </w:tcPr>
          <w:p>
            <w:r>
              <w:rPr>
                <w:rFonts w:ascii="Aptos" w:hAnsi="Aptos"/>
                <w:sz w:val="16"/>
              </w:rPr>
              <w:t>NOT PRESENT</w:t>
            </w:r>
          </w:p>
        </w:tc>
      </w:tr>
    </w:tbl>
    <w:p>
      <w:r>
        <w:rPr>
          <w:sz w:val="19"/>
        </w:rPr>
        <w:t>Verbatim overlap: daynight.</w:t>
      </w:r>
    </w:p>
    <w:p>
      <w:r>
        <w:rPr>
          <w:sz w:val="19"/>
        </w:rPr>
        <w:t>Backend-only fields absent from the 52-column table: h3_index, satellite, landuse_tag, brightness, scan, track, frp, bright_t31, confidence, persistence_90d_norm, distance_to_water_km, distance_to_road_km, canopy_cover_pct, is_static_source.</w:t>
      </w:r>
    </w:p>
    <w:p>
      <w:r>
        <w:rPr>
          <w:sz w:val="19"/>
        </w:rPr>
        <w:t>52-column fields not expected verbatim by the backend: h3_08, acq_date, frp_max, frp_mean, n_detections, ti4_max, is_saturated_max, scan_mean, track_mean, confidence_high_any, satellite_nunique, is_static_land, is_offshore, frp_max_lag7, active_days_7d, frp_max_lag30, active_days_30d, active_days_90d, is_first_observation, is_labeled, h3_lat, h3_lon, state, dist_wri_solar_km, n_wri_solar_10km, dist_wri_coal_km, n_wri_coal_10km, dist_wri_wind_km, n_wri_wind_10km, dist_wri_gas_km, n_wri_gas_10km, dist_wri_hydro_km, n_wri_hydro_10km, dist_wri_biomass_km, n_wri_biomass_10km, dist_wri_oil_km, n_wri_oil_10km, dist_wri_nuclear_km, n_wri_nuclear_10km, dist_osm_industrial_km, n_osm_industrial_5km, dist_osm_quarry_km, n_osm_quarry_5km, dist_osm_farmland_km, n_osm_farmland_5km, dist_osm_mineshaft_km, n_osm_mineshaft_5km, dist_osm_adit_km, n_osm_adit_5km, dist_osm_power_infra_km, n_osm_power_infra_5km.</w:t>
      </w:r>
    </w:p>
    <w:p>
      <w:pPr>
        <w:pStyle w:val="Heading1"/>
      </w:pPr>
      <w:r>
        <w:rPr>
          <w:sz w:val="19"/>
        </w:rPr>
        <w:t>Still unverifiable</w:t>
      </w:r>
    </w:p>
    <w:p>
      <w:pPr>
        <w:pStyle w:val="ListBullet"/>
      </w:pPr>
      <w:r>
        <w:rPr>
          <w:sz w:val="19"/>
        </w:rPr>
        <w:t>The exact contents of the requested docs/decisions/PS26162_model_pipeline.md and docs/decisions/PS26162_EDA_context_dump.md were not found at those exact paths in the accessible repository. The current repository instead contains an older accepted XGBoost decision at docs/decisions/0001-model-choice.md, while the current project evidence supplied in the File Library records the later CatBoost/four-class decisions. This is a repository-documentation gap, not permission to infer the missing files.</w:t>
      </w:r>
    </w:p>
    <w:p>
      <w:pPr>
        <w:pStyle w:val="ListBullet"/>
      </w:pPr>
      <w:r>
        <w:rPr>
          <w:sz w:val="19"/>
        </w:rPr>
        <w:t>The committed CatBoost binary's internal class metadata could not be independently inspected through the repository connector. The training script that would create/overwrite it is nevertheless demonstrably six-class/synthetic, so the artifact's provenance cannot be accepted as a verified final project model.</w:t>
      </w:r>
    </w:p>
    <w:p>
      <w:pPr>
        <w:pStyle w:val="ListBullet"/>
      </w:pPr>
      <w:r>
        <w:rPr>
          <w:sz w:val="19"/>
        </w:rPr>
        <w:t>Actual historical CI run logs were not inspected. The workflow file itself is sufficient to establish that the configured backend job points at ./backend and is continue-on-error, but it does not prove what happened in a particular past GitHub Actions run.</w:t>
      </w:r>
    </w:p>
    <w:p>
      <w:pPr>
        <w:pStyle w:val="ListBullet"/>
      </w:pPr>
      <w:r>
        <w:rPr>
          <w:sz w:val="19"/>
        </w:rPr>
        <w:t>No database-level audit permission model can be verified beyond the checked repository because no migration/grant mechanism is present in the branch diff. If such controls exist outside the repository or in deployment infrastructure, the deployment configuration would be required to close that point.</w:t>
      </w:r>
    </w:p>
    <w:p>
      <w:pPr>
        <w:pStyle w:val="Heading1"/>
      </w:pPr>
      <w:r>
        <w:rPr>
          <w:sz w:val="19"/>
        </w:rPr>
        <w:t>New issues found</w:t>
      </w:r>
    </w:p>
    <w:p>
      <w:pPr>
        <w:pStyle w:val="Heading2"/>
      </w:pPr>
      <w:r>
        <w:rPr>
          <w:sz w:val="19"/>
        </w:rPr>
        <w:t>Fatal missing dependency/module</w:t>
      </w:r>
    </w:p>
    <w:p>
      <w:r>
        <w:rPr>
          <w:sz w:val="19"/>
        </w:rPr>
        <w:t>app/services/model_service.py:9 imports app.services.feature_store, but the branch does not contain app/services/feature_store.py. app/main.py:7 and app/api/endpoints/spatial.py:4 also import it. This is a startup/import failure, not a cosmetic gap.</w:t>
      </w:r>
    </w:p>
    <w:p>
      <w:pPr>
        <w:pStyle w:val="Heading2"/>
      </w:pPr>
      <w:r>
        <w:rPr>
          <w:sz w:val="19"/>
        </w:rPr>
        <w:t>Fatal configuration-name mismatch</w:t>
      </w:r>
    </w:p>
    <w:p>
      <w:r>
        <w:rPr>
          <w:sz w:val="19"/>
        </w:rPr>
        <w:t>app/core/config.py:22-29 defines DEFAULT_TRAINED_CLASSES, but app/main.py:47, model_service.py:54-55, 64-66, 71-72, 109 and other code reference settings.TARGET_CLASSES. TARGET_CLASSES is not defined in config.py. Even if the missing feature_store module were fixed, these paths would fail when target classes are accessed.</w:t>
      </w:r>
    </w:p>
    <w:p>
      <w:pPr>
        <w:pStyle w:val="Heading2"/>
      </w:pPr>
      <w:r>
        <w:rPr>
          <w:sz w:val="19"/>
        </w:rPr>
        <w:t>Runtime feature engineering contradicts the intended H3-day boundary</w:t>
      </w:r>
    </w:p>
    <w:p>
      <w:r>
        <w:rPr>
          <w:sz w:val="19"/>
        </w:rPr>
        <w:t>app/services/model_service.py:35-49 computes H3 from the incoming point, retrieves context, and calls engineer_features at request time. The real project evidence describes an H3-day feature product with calendar-aware rolling features and nationwide OSM/WRI enrichment. The branch therefore does not merely serve the precomputed feature product; it reconstructs a different point-level feature vector at runtime.</w:t>
      </w:r>
    </w:p>
    <w:p>
      <w:pPr>
        <w:pStyle w:val="Heading2"/>
      </w:pPr>
      <w:r>
        <w:rPr>
          <w:sz w:val="19"/>
        </w:rPr>
        <w:t>The actual rolling features are absent from the backend pipeline</w:t>
      </w:r>
    </w:p>
    <w:p>
      <w:r>
        <w:rPr>
          <w:sz w:val="19"/>
        </w:rPr>
        <w:t>pipeline/feature_engineering.py computes persistence_90d_norm from persistence_90d/observed_days_in_90d but does not implement the real frp_max_lag7, frp_max_lag30, active_days_7d, active_days_30d and active_days_90d H3-day rolling construction documented by the project evidence.</w:t>
      </w:r>
    </w:p>
    <w:p>
      <w:pPr>
        <w:pStyle w:val="Heading2"/>
      </w:pPr>
      <w:r>
        <w:rPr>
          <w:sz w:val="19"/>
        </w:rPr>
        <w:t>The spatial CV implementation is not the locked geographic evaluation split</w:t>
      </w:r>
    </w:p>
    <w:p>
      <w:r>
        <w:rPr>
          <w:sz w:val="19"/>
        </w:rPr>
        <w:t>pipeline/spatial_cv.py:27-46 uses generic KMeans clusters over lat/lon. The current project geographic evaluation design is state-based: TRAIN Maharashtra, Karnataka, Madhya Pradesh, Punjab, Andhra Pradesh, Telangana; TEST A Gujarat, Tamil Nadu; TEST B Jharkhand, Rajasthan. The repository therefore does not implement the locked evaluation design merely by having a 50 km SpatialKFold.</w:t>
      </w:r>
    </w:p>
    <w:p>
      <w:pPr>
        <w:pStyle w:val="Heading2"/>
      </w:pPr>
      <w:r>
        <w:rPr>
          <w:sz w:val="19"/>
        </w:rPr>
        <w:t>CI is non-blocking and pointed at the wrong backend directory</w:t>
      </w:r>
    </w:p>
    <w:p>
      <w:r>
        <w:rPr>
          <w:sz w:val="19"/>
        </w:rPr>
        <w:t>.github/workflows/test.yml:10-15 names the job Backend Tests (stub) and sets working-directory ./backend. The branch's backend code is at repository root app/, pipeline/, data/, tests/. The test command is also continue-on-error at line 36.</w:t>
      </w:r>
    </w:p>
    <w:p>
      <w:pPr>
        <w:pStyle w:val="Heading2"/>
      </w:pPr>
      <w:r>
        <w:rPr>
          <w:sz w:val="19"/>
        </w:rPr>
        <w:t>Audit schema omits model provenance</w:t>
      </w:r>
    </w:p>
    <w:p>
      <w:r>
        <w:rPr>
          <w:sz w:val="19"/>
        </w:rPr>
        <w:t>app/schemas/audit.py:12-23 and audit_service.py:19-30 record event/analyst/prediction/override/justification/confidence, but no model version, feature schema version, or prediction timestamp tied to a model artifact. The project architecture calls for auditable model/provenance context.</w:t>
      </w:r>
    </w:p>
    <w:p>
      <w:pPr>
        <w:pStyle w:val="Heading2"/>
      </w:pPr>
      <w:r>
        <w:rPr>
          <w:sz w:val="19"/>
        </w:rPr>
        <w:t>Audit override trusts client-supplied original prediction</w:t>
      </w:r>
    </w:p>
    <w:p>
      <w:r>
        <w:rPr>
          <w:sz w:val="19"/>
        </w:rPr>
        <w:t>app/schemas/audit.py:6-10 accepts original_prediction directly from the caller; audit_service.py inserts it without re-resolving the prediction from the model or stored prediction record. That weakens the evidentiary chain of the audit record.</w:t>
      </w:r>
    </w:p>
    <w:p>
      <w:pPr>
        <w:pStyle w:val="Heading2"/>
      </w:pPr>
      <w:r>
        <w:rPr>
          <w:sz w:val="19"/>
        </w:rPr>
        <w:t>CORS is permissive</w:t>
      </w:r>
    </w:p>
    <w:p>
      <w:r>
        <w:rPr>
          <w:sz w:val="19"/>
        </w:rPr>
        <w:t>app/main.py:30-36 allows all origins while also enabling credentials. This is broader than a production-grade allowlist and should not be described as defense-grade hardening.</w:t>
      </w:r>
    </w:p>
    <w:p>
      <w:pPr>
        <w:pStyle w:val="Heading1"/>
      </w:pPr>
      <w:r>
        <w:rPr>
          <w:sz w:val="19"/>
        </w:rPr>
        <w:t>Test inventory — what the seven tests actually assert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Pr>
          <w:p>
            <w:r>
              <w:rPr>
                <w:rFonts w:ascii="Aptos" w:hAnsi="Aptos"/>
                <w:sz w:val="16"/>
              </w:rPr>
              <w:t>Test</w:t>
            </w:r>
          </w:p>
        </w:tc>
        <w:tc>
          <w:tcPr>
            <w:tcW w:type="dxa" w:w="3408"/>
            <w:vAlign w:val="top"/>
          </w:tcPr>
          <w:p>
            <w:r>
              <w:rPr>
                <w:rFonts w:ascii="Aptos" w:hAnsi="Aptos"/>
                <w:sz w:val="16"/>
              </w:rPr>
              <w:t>File:line</w:t>
            </w:r>
          </w:p>
        </w:tc>
        <w:tc>
          <w:tcPr>
            <w:tcW w:type="dxa" w:w="3408"/>
            <w:vAlign w:val="top"/>
          </w:tcPr>
          <w:p>
            <w:r>
              <w:rPr>
                <w:rFonts w:ascii="Aptos" w:hAnsi="Aptos"/>
                <w:sz w:val="16"/>
              </w:rPr>
              <w:t>Assertion</w:t>
            </w:r>
          </w:p>
        </w:tc>
      </w:tr>
      <w:tr>
        <w:tc>
          <w:tcPr>
            <w:tcW w:type="dxa" w:w="3408"/>
            <w:vAlign w:val="top"/>
          </w:tcPr>
          <w:p>
            <w:r>
              <w:rPr>
                <w:rFonts w:ascii="Aptos" w:hAnsi="Aptos"/>
                <w:sz w:val="16"/>
              </w:rPr>
              <w:t>test_h3_indexing</w:t>
            </w:r>
          </w:p>
        </w:tc>
        <w:tc>
          <w:tcPr>
            <w:tcW w:type="dxa" w:w="3408"/>
            <w:vAlign w:val="top"/>
          </w:tcPr>
          <w:p>
            <w:r>
              <w:rPr>
                <w:rFonts w:ascii="Aptos" w:hAnsi="Aptos"/>
                <w:sz w:val="16"/>
              </w:rPr>
              <w:t>tests/test_backend.py:19-23</w:t>
            </w:r>
          </w:p>
        </w:tc>
        <w:tc>
          <w:tcPr>
            <w:tcW w:type="dxa" w:w="3408"/>
            <w:vAlign w:val="top"/>
          </w:tcPr>
          <w:p>
            <w:r>
              <w:rPr>
                <w:rFonts w:ascii="Aptos" w:hAnsi="Aptos"/>
                <w:sz w:val="16"/>
              </w:rPr>
              <w:t>A lat/lon point converts to a string H3 index longer than five characters.</w:t>
            </w:r>
          </w:p>
        </w:tc>
      </w:tr>
      <w:tr>
        <w:tc>
          <w:tcPr>
            <w:tcW w:type="dxa" w:w="3408"/>
            <w:vAlign w:val="top"/>
          </w:tcPr>
          <w:p>
            <w:r>
              <w:rPr>
                <w:rFonts w:ascii="Aptos" w:hAnsi="Aptos"/>
                <w:sz w:val="16"/>
              </w:rPr>
              <w:t>test_feature_engineering_persistence_normalization</w:t>
            </w:r>
          </w:p>
        </w:tc>
        <w:tc>
          <w:tcPr>
            <w:tcW w:type="dxa" w:w="3408"/>
            <w:vAlign w:val="top"/>
          </w:tcPr>
          <w:p>
            <w:r>
              <w:rPr>
                <w:rFonts w:ascii="Aptos" w:hAnsi="Aptos"/>
                <w:sz w:val="16"/>
              </w:rPr>
              <w:t>25-41</w:t>
            </w:r>
          </w:p>
        </w:tc>
        <w:tc>
          <w:tcPr>
            <w:tcW w:type="dxa" w:w="3408"/>
            <w:vAlign w:val="top"/>
          </w:tcPr>
          <w:p>
            <w:r>
              <w:rPr>
                <w:rFonts w:ascii="Aptos" w:hAnsi="Aptos"/>
                <w:sz w:val="16"/>
              </w:rPr>
              <w:t>Synthetic one-row DataFrame: persistence_90d_norm = 18/79 and generated h3_index is a string.</w:t>
            </w:r>
          </w:p>
        </w:tc>
      </w:tr>
      <w:tr>
        <w:tc>
          <w:tcPr>
            <w:tcW w:type="dxa" w:w="3408"/>
            <w:vAlign w:val="top"/>
          </w:tcPr>
          <w:p>
            <w:r>
              <w:rPr>
                <w:rFonts w:ascii="Aptos" w:hAnsi="Aptos"/>
                <w:sz w:val="16"/>
              </w:rPr>
              <w:t>test_spatial_cross_validation_split</w:t>
            </w:r>
          </w:p>
        </w:tc>
        <w:tc>
          <w:tcPr>
            <w:tcW w:type="dxa" w:w="3408"/>
            <w:vAlign w:val="top"/>
          </w:tcPr>
          <w:p>
            <w:r>
              <w:rPr>
                <w:rFonts w:ascii="Aptos" w:hAnsi="Aptos"/>
                <w:sz w:val="16"/>
              </w:rPr>
              <w:t>43-57</w:t>
            </w:r>
          </w:p>
        </w:tc>
        <w:tc>
          <w:tcPr>
            <w:tcW w:type="dxa" w:w="3408"/>
            <w:vAlign w:val="top"/>
          </w:tcPr>
          <w:p>
            <w:r>
              <w:rPr>
                <w:rFonts w:ascii="Aptos" w:hAnsi="Aptos"/>
                <w:sz w:val="16"/>
              </w:rPr>
              <w:t>Synthetic coordinates produce three folds and no train/validation index intersection.</w:t>
            </w:r>
          </w:p>
        </w:tc>
      </w:tr>
      <w:tr>
        <w:tc>
          <w:tcPr>
            <w:tcW w:type="dxa" w:w="3408"/>
            <w:vAlign w:val="top"/>
          </w:tcPr>
          <w:p>
            <w:r>
              <w:rPr>
                <w:rFonts w:ascii="Aptos" w:hAnsi="Aptos"/>
                <w:sz w:val="16"/>
              </w:rPr>
              <w:t>test_api_root_and_health</w:t>
            </w:r>
          </w:p>
        </w:tc>
        <w:tc>
          <w:tcPr>
            <w:tcW w:type="dxa" w:w="3408"/>
            <w:vAlign w:val="top"/>
          </w:tcPr>
          <w:p>
            <w:r>
              <w:rPr>
                <w:rFonts w:ascii="Aptos" w:hAnsi="Aptos"/>
                <w:sz w:val="16"/>
              </w:rPr>
              <w:t>59-65</w:t>
            </w:r>
          </w:p>
        </w:tc>
        <w:tc>
          <w:tcPr>
            <w:tcW w:type="dxa" w:w="3408"/>
            <w:vAlign w:val="top"/>
          </w:tcPr>
          <w:p>
            <w:r>
              <w:rPr>
                <w:rFonts w:ascii="Aptos" w:hAnsi="Aptos"/>
                <w:sz w:val="16"/>
              </w:rPr>
              <w:t>Root returns 200, status=online, and expects exactly six target classes.</w:t>
            </w:r>
          </w:p>
        </w:tc>
      </w:tr>
      <w:tr>
        <w:tc>
          <w:tcPr>
            <w:tcW w:type="dxa" w:w="3408"/>
            <w:vAlign w:val="top"/>
          </w:tcPr>
          <w:p>
            <w:r>
              <w:rPr>
                <w:rFonts w:ascii="Aptos" w:hAnsi="Aptos"/>
                <w:sz w:val="16"/>
              </w:rPr>
              <w:t>test_classify_and_explain_endpoints</w:t>
            </w:r>
          </w:p>
        </w:tc>
        <w:tc>
          <w:tcPr>
            <w:tcW w:type="dxa" w:w="3408"/>
            <w:vAlign w:val="top"/>
          </w:tcPr>
          <w:p>
            <w:r>
              <w:rPr>
                <w:rFonts w:ascii="Aptos" w:hAnsi="Aptos"/>
                <w:sz w:val="16"/>
              </w:rPr>
              <w:t>67-101</w:t>
            </w:r>
          </w:p>
        </w:tc>
        <w:tc>
          <w:tcPr>
            <w:tcW w:type="dxa" w:w="3408"/>
            <w:vAlign w:val="top"/>
          </w:tcPr>
          <w:p>
            <w:r>
              <w:rPr>
                <w:rFonts w:ascii="Aptos" w:hAnsi="Aptos"/>
                <w:sz w:val="16"/>
              </w:rPr>
              <w:t>Synthetic raw payload returns a prediction, expects predicted class in TARGET_CLASSES, exactly six probabilities, and non-empty SHAP attributions.</w:t>
            </w:r>
          </w:p>
        </w:tc>
      </w:tr>
      <w:tr>
        <w:tc>
          <w:tcPr>
            <w:tcW w:type="dxa" w:w="3408"/>
            <w:vAlign w:val="top"/>
          </w:tcPr>
          <w:p>
            <w:r>
              <w:rPr>
                <w:rFonts w:ascii="Aptos" w:hAnsi="Aptos"/>
                <w:sz w:val="16"/>
              </w:rPr>
              <w:t>test_ingestion_dead_letter_queue</w:t>
            </w:r>
          </w:p>
        </w:tc>
        <w:tc>
          <w:tcPr>
            <w:tcW w:type="dxa" w:w="3408"/>
            <w:vAlign w:val="top"/>
          </w:tcPr>
          <w:p>
            <w:r>
              <w:rPr>
                <w:rFonts w:ascii="Aptos" w:hAnsi="Aptos"/>
                <w:sz w:val="16"/>
              </w:rPr>
              <w:t>102-143</w:t>
            </w:r>
          </w:p>
        </w:tc>
        <w:tc>
          <w:tcPr>
            <w:tcW w:type="dxa" w:w="3408"/>
            <w:vAlign w:val="top"/>
          </w:tcPr>
          <w:p>
            <w:r>
              <w:rPr>
                <w:rFonts w:ascii="Aptos" w:hAnsi="Aptos"/>
                <w:sz w:val="16"/>
              </w:rPr>
              <w:t>One valid and one invalid synthetic payload produce 1 valid and 1 quarantined record.</w:t>
            </w:r>
          </w:p>
        </w:tc>
      </w:tr>
      <w:tr>
        <w:tc>
          <w:tcPr>
            <w:tcW w:type="dxa" w:w="3408"/>
            <w:vAlign w:val="top"/>
          </w:tcPr>
          <w:p>
            <w:r>
              <w:rPr>
                <w:rFonts w:ascii="Aptos" w:hAnsi="Aptos"/>
                <w:sz w:val="16"/>
              </w:rPr>
              <w:t>test_audit_override</w:t>
            </w:r>
          </w:p>
        </w:tc>
        <w:tc>
          <w:tcPr>
            <w:tcW w:type="dxa" w:w="3408"/>
            <w:vAlign w:val="top"/>
          </w:tcPr>
          <w:p>
            <w:r>
              <w:rPr>
                <w:rFonts w:ascii="Aptos" w:hAnsi="Aptos"/>
                <w:sz w:val="16"/>
              </w:rPr>
              <w:t>144-end</w:t>
            </w:r>
          </w:p>
        </w:tc>
        <w:tc>
          <w:tcPr>
            <w:tcW w:type="dxa" w:w="3408"/>
            <w:vAlign w:val="top"/>
          </w:tcPr>
          <w:p>
            <w:r>
              <w:rPr>
                <w:rFonts w:ascii="Aptos" w:hAnsi="Aptos"/>
                <w:sz w:val="16"/>
              </w:rPr>
              <w:t>Synthetic analyst override is accepted and then appears in audit logs.</w:t>
            </w:r>
          </w:p>
        </w:tc>
      </w:tr>
    </w:tbl>
    <w:p>
      <w:pPr>
        <w:pStyle w:val="Heading1"/>
      </w:pPr>
      <w:r>
        <w:rPr>
          <w:sz w:val="19"/>
        </w:rPr>
        <w:t>Changes since the original verification report</w:t>
      </w:r>
    </w:p>
    <w:p>
      <w:pPr>
        <w:pStyle w:val="ListBullet"/>
      </w:pPr>
      <w:r>
        <w:rPr>
          <w:sz w:val="19"/>
        </w:rPr>
        <w:t>The geographic support gate remains before treating the split as training-ready: count unique H3 cells per class within each train/test state using the actual label column.</w:t>
      </w:r>
    </w:p>
    <w:p>
      <w:pPr>
        <w:pStyle w:val="ListBullet"/>
      </w:pPr>
      <w:r>
        <w:rPr>
          <w:sz w:val="19"/>
        </w:rPr>
        <w:t>The accurate status is therefore not 'no multi-class label column exists'; it is that the label result currently exists in the notebook/workspace and has not yet been promoted to a canonical persisted training dataset.</w:t>
      </w:r>
    </w:p>
    <w:p>
      <w:pPr>
        <w:pStyle w:val="ListBullet"/>
      </w:pPr>
      <w:r>
        <w:rPr>
          <w:sz w:val="19"/>
        </w:rPr>
        <w:t>The current labeled fraction is approximately 43.55%, leaving 56.45% of H3-day rows unlabeled by the conservative bootstrap rules.</w:t>
      </w:r>
    </w:p>
    <w:p>
      <w:pPr>
        <w:pStyle w:val="ListBullet"/>
      </w:pPr>
      <w:r>
        <w:rPr>
          <w:sz w:val="19"/>
        </w:rPr>
        <w:t>Mining OSM enrichment received a 15-row manual spot-check plus a full mining-row distance-distribution check; no immediate join corruption was observed.</w:t>
      </w:r>
    </w:p>
    <w:p>
      <w:pPr>
        <w:pStyle w:val="ListBullet"/>
      </w:pPr>
      <w:r>
        <w:rPr>
          <w:sz w:val="19"/>
        </w:rPr>
        <w:t>The wildfire/agricultural_burn precedence bug has been corrected and the resulting class-count shift has been observed.</w:t>
      </w:r>
    </w:p>
    <w:p>
      <w:pPr>
        <w:pStyle w:val="ListBullet"/>
      </w:pPr>
      <w:r>
        <w:rPr>
          <w:sz w:val="19"/>
        </w:rPr>
        <w:t>Phase 6 labeling is no longer purely theoretical: a working label column has been produced in the notebook.</w:t>
      </w:r>
    </w:p>
    <w:p>
      <w:pPr>
        <w:pStyle w:val="Heading1"/>
      </w:pPr>
      <w:r>
        <w:rPr>
          <w:sz w:val="19"/>
        </w:rPr>
        <w:t>Bottom line</w:t>
      </w:r>
    </w:p>
    <w:p>
      <w:r>
        <w:rPr>
          <w:sz w:val="19"/>
        </w:rPr>
        <w:t>The PDF-only review was directionally correct about the architectural risk, and the repository evidence confirms several concrete implementation defects. Since that review, the ML work has also advanced: the four-class bootstrap labeling has been executed, the wildfire/agricultural_burn ordering bug has been corrected, and the mining enrichment has passed an immediate sanity check. The backend branch should still not be treated as the authoritative integration path: it contains a separate synthetic six-class training path, does not consume the real H3-day feature product, lacks database-enforced audit immutability, and contains concrete startup/configuration defects.</w:t>
      </w:r>
    </w:p>
    <w:p>
      <w:pPr>
        <w:pStyle w:val="Heading1"/>
      </w:pPr>
      <w:r>
        <w:rPr>
          <w:sz w:val="19"/>
        </w:rPr>
        <w:t>Recommended disposition</w:t>
      </w:r>
    </w:p>
    <w:p>
      <w:r>
        <w:rPr>
          <w:sz w:val="19"/>
        </w:rPr>
        <w:t>Do not treat SIH-BACKEND/SA as production-ready backend code or as the authoritative integration of the current ML/data pipeline. The verification phase has enough evidence to reject its current runtime/training integration as the project path. The ML pipeline can now proceed independently: complete the per-state/per-class support gate, then run the first CatBoost training experiment on the labeled H3-day dataset. Backend implementation should be aligned to the resulting real feature schema and model contract after the first valid model exists.</w:t>
      </w:r>
    </w:p>
    <w:p>
      <w:pPr>
        <w:pStyle w:val="Heading1"/>
      </w:pPr>
      <w:r>
        <w:rPr>
          <w:sz w:val="19"/>
        </w:rPr>
        <w:t>Repository evidence references</w:t>
      </w:r>
    </w:p>
    <w:p>
      <w:pPr>
        <w:pStyle w:val="ListBullet"/>
      </w:pPr>
      <w:r>
        <w:rPr>
          <w:sz w:val="19"/>
        </w:rPr>
        <w:t>app/core/config.py:21-46</w:t>
      </w:r>
    </w:p>
    <w:p>
      <w:pPr>
        <w:pStyle w:val="ListBullet"/>
      </w:pPr>
      <w:r>
        <w:rPr>
          <w:sz w:val="19"/>
        </w:rPr>
        <w:t>app/main.py:7, 10-23, 47</w:t>
      </w:r>
    </w:p>
    <w:p>
      <w:pPr>
        <w:pStyle w:val="ListBullet"/>
      </w:pPr>
      <w:r>
        <w:rPr>
          <w:sz w:val="19"/>
        </w:rPr>
        <w:t>app/api/endpoints/classify.py:10-18</w:t>
      </w:r>
    </w:p>
    <w:p>
      <w:pPr>
        <w:pStyle w:val="ListBullet"/>
      </w:pPr>
      <w:r>
        <w:rPr>
          <w:sz w:val="19"/>
        </w:rPr>
        <w:t>app/api/endpoints/ingest.py:8-43</w:t>
      </w:r>
    </w:p>
    <w:p>
      <w:pPr>
        <w:pStyle w:val="ListBullet"/>
      </w:pPr>
      <w:r>
        <w:rPr>
          <w:sz w:val="19"/>
        </w:rPr>
        <w:t>app/api/endpoints/spatial.py:4, 8-36</w:t>
      </w:r>
    </w:p>
    <w:p>
      <w:pPr>
        <w:pStyle w:val="ListBullet"/>
      </w:pPr>
      <w:r>
        <w:rPr>
          <w:sz w:val="19"/>
        </w:rPr>
        <w:t>app/services/model_service.py:9, 31-74, 82-149</w:t>
      </w:r>
    </w:p>
    <w:p>
      <w:pPr>
        <w:pStyle w:val="ListBullet"/>
      </w:pPr>
      <w:r>
        <w:rPr>
          <w:sz w:val="19"/>
        </w:rPr>
        <w:t>app/services/audit_service.py:16-74</w:t>
      </w:r>
    </w:p>
    <w:p>
      <w:pPr>
        <w:pStyle w:val="ListBullet"/>
      </w:pPr>
      <w:r>
        <w:rPr>
          <w:sz w:val="19"/>
        </w:rPr>
        <w:t>app/schemas/firms.py:5-23</w:t>
      </w:r>
    </w:p>
    <w:p>
      <w:pPr>
        <w:pStyle w:val="ListBullet"/>
      </w:pPr>
      <w:r>
        <w:rPr>
          <w:sz w:val="19"/>
        </w:rPr>
        <w:t>app/schemas/audit.py:6-23</w:t>
      </w:r>
    </w:p>
    <w:p>
      <w:pPr>
        <w:pStyle w:val="ListBullet"/>
      </w:pPr>
      <w:r>
        <w:rPr>
          <w:sz w:val="19"/>
        </w:rPr>
        <w:t>pipeline/feature_engineering.py:6-72</w:t>
      </w:r>
    </w:p>
    <w:p>
      <w:pPr>
        <w:pStyle w:val="ListBullet"/>
      </w:pPr>
      <w:r>
        <w:rPr>
          <w:sz w:val="19"/>
        </w:rPr>
        <w:t>pipeline/spatial_cv.py:27-54</w:t>
      </w:r>
    </w:p>
    <w:p>
      <w:pPr>
        <w:pStyle w:val="ListBullet"/>
      </w:pPr>
      <w:r>
        <w:rPr>
          <w:sz w:val="19"/>
        </w:rPr>
        <w:t>pipeline/train_catboost.py:13-107</w:t>
      </w:r>
    </w:p>
    <w:p>
      <w:pPr>
        <w:pStyle w:val="ListBullet"/>
      </w:pPr>
      <w:r>
        <w:rPr>
          <w:sz w:val="19"/>
        </w:rPr>
        <w:t>data/mock_generator.py:18-84</w:t>
      </w:r>
    </w:p>
    <w:p>
      <w:pPr>
        <w:pStyle w:val="ListBullet"/>
      </w:pPr>
      <w:r>
        <w:rPr>
          <w:sz w:val="19"/>
        </w:rPr>
        <w:t>tests/test_backend.py:19-end</w:t>
      </w:r>
    </w:p>
    <w:p>
      <w:pPr>
        <w:pStyle w:val="ListBullet"/>
      </w:pPr>
      <w:r>
        <w:rPr>
          <w:sz w:val="19"/>
        </w:rPr>
        <w:t>.github/workflows/test.yml:10-36</w:t>
      </w:r>
    </w:p>
    <w:p>
      <w:pPr>
        <w:pStyle w:val="ListBullet"/>
      </w:pPr>
      <w:r>
        <w:rPr>
          <w:sz w:val="19"/>
        </w:rPr>
        <w:t>requirements.txt:1-14</w:t>
      </w:r>
    </w:p>
    <w:p>
      <w:pPr>
        <w:pStyle w:val="ListBullet"/>
      </w:pPr>
      <w:r>
        <w:rPr>
          <w:sz w:val="19"/>
        </w:rPr>
        <w:t>BACKEND_DOCUMENTATION.md: system architecture, six-class taxonomy, directory structure, API specification, and quickstart sections</w:t>
      </w:r>
    </w:p>
    <w:p>
      <w:pPr>
        <w:pStyle w:val="ListBullet"/>
      </w:pPr>
      <w:r>
        <w:rPr>
          <w:sz w:val="19"/>
        </w:rPr>
        <w:t>README.md: six-class architecture/quickstart sections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