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4E5C"/>
          <w:sz w:val="40"/>
          <w:szCs w:val="40"/>
        </w:rPr>
        <w:t xml:space="preserve">AI-Based Detection and Classification of</w:t>
      </w:r>
    </w:p>
    <w:p>
      <w:pPr>
        <w:spacing w:after="200"/>
        <w:jc w:val="center"/>
      </w:pPr>
      <w:r>
        <w:rPr>
          <w:b/>
          <w:bCs/>
          <w:color w:val="1F4E5C"/>
          <w:sz w:val="40"/>
          <w:szCs w:val="40"/>
        </w:rPr>
        <w:t xml:space="preserve">Industrial Fires and Persistent Thermal Sources</w:t>
      </w:r>
    </w:p>
    <w:p>
      <w:pPr>
        <w:spacing w:after="400"/>
        <w:jc w:val="center"/>
      </w:pPr>
      <w:r>
        <w:rPr>
          <w:b/>
          <w:bCs/>
          <w:color w:val="C0392B"/>
          <w:sz w:val="28"/>
          <w:szCs w:val="28"/>
        </w:rPr>
        <w:t xml:space="preserve">Using NASA FIRMS, OpenStreetMap &amp; Satellite Data</w:t>
      </w:r>
    </w:p>
    <w:p>
      <w:pPr>
        <w:pBdr>
          <w:bottom w:val="single" w:color="C0392B" w:sz="12" w:space="8"/>
        </w:pBdr>
        <w:spacing w:after="100"/>
        <w:jc w:val="center"/>
      </w:pPr>
      <w:r>
        <w:t xml:space="preserve"/>
      </w:r>
    </w:p>
    <w:p>
      <w:pPr>
        <w:spacing w:before="600"/>
      </w:pPr>
    </w:p>
    <w:p>
      <w:pPr>
        <w:jc w:val="center"/>
      </w:pPr>
      <w:r>
        <w:rPr>
          <w:b/>
          <w:bCs/>
          <w:sz w:val="26"/>
          <w:szCs w:val="26"/>
        </w:rPr>
        <w:t xml:space="preserve">Smart India Hackathon 2026</w:t>
      </w:r>
    </w:p>
    <w:p>
      <w:pPr>
        <w:spacing w:after="60"/>
        <w:jc w:val="center"/>
      </w:pPr>
      <w:r>
        <w:rPr>
          <w:color w:val="595959"/>
          <w:sz w:val="24"/>
          <w:szCs w:val="24"/>
        </w:rPr>
        <w:t xml:space="preserve">Problem Statement ID: SIH26162</w:t>
      </w:r>
    </w:p>
    <w:p>
      <w:pPr>
        <w:spacing w:after="60"/>
        <w:jc w:val="center"/>
      </w:pPr>
      <w:r>
        <w:rPr>
          <w:color w:val="595959"/>
          <w:sz w:val="24"/>
          <w:szCs w:val="24"/>
        </w:rPr>
        <w:t xml:space="preserve">Category: Software  |  Theme: Miscellaneous</w:t>
      </w:r>
    </w:p>
    <w:p>
      <w:pPr>
        <w:spacing w:after="700"/>
        <w:jc w:val="center"/>
      </w:pPr>
      <w:r>
        <w:rPr>
          <w:color w:val="595959"/>
          <w:sz w:val="24"/>
          <w:szCs w:val="24"/>
        </w:rPr>
        <w:t xml:space="preserve">Submission Window Closes: 20 September 2026</w:t>
      </w:r>
    </w:p>
    <w:p>
      <w:pPr>
        <w:jc w:val="center"/>
      </w:pPr>
      <w:r>
        <w:rPr>
          <w:i/>
          <w:iCs/>
          <w:sz w:val="22"/>
          <w:szCs w:val="22"/>
        </w:rPr>
        <w:t xml:space="preserve">Project Concept Note &amp; Technical Approach Document</w:t>
      </w:r>
    </w:p>
    <w:p>
      <w:r>
        <w:br w:type="page"/>
      </w:r>
    </w:p>
    <w:p>
      <w:pPr>
        <w:pStyle w:val="Heading1"/>
        <w:spacing w:after="160" w:before="360"/>
      </w:pPr>
      <w:r>
        <w:t xml:space="preserve">Table of Contents</w:t>
      </w:r>
    </w:p>
    <w:p>
      <w:pPr>
        <w:spacing w:after="140"/>
      </w:pPr>
      <w:r>
        <w:rPr>
          <w:sz w:val="23"/>
          <w:szCs w:val="23"/>
        </w:rPr>
        <w:t xml:space="preserve">1.  Problem Statement Understanding</w:t>
      </w:r>
    </w:p>
    <w:p>
      <w:pPr>
        <w:spacing w:after="140"/>
      </w:pPr>
      <w:r>
        <w:rPr>
          <w:sz w:val="23"/>
          <w:szCs w:val="23"/>
        </w:rPr>
        <w:t xml:space="preserve">2.  Project Objectives</w:t>
      </w:r>
    </w:p>
    <w:p>
      <w:pPr>
        <w:spacing w:after="140"/>
      </w:pPr>
      <w:r>
        <w:rPr>
          <w:sz w:val="23"/>
          <w:szCs w:val="23"/>
        </w:rPr>
        <w:t xml:space="preserve">3.  Data Sources &amp; Fusion Strategy</w:t>
      </w:r>
    </w:p>
    <w:p>
      <w:pPr>
        <w:spacing w:after="140"/>
      </w:pPr>
      <w:r>
        <w:rPr>
          <w:sz w:val="23"/>
          <w:szCs w:val="23"/>
        </w:rPr>
        <w:t xml:space="preserve">4.  Proposed Methodology</w:t>
      </w:r>
    </w:p>
    <w:p>
      <w:pPr>
        <w:spacing w:after="140"/>
      </w:pPr>
      <w:r>
        <w:rPr>
          <w:sz w:val="23"/>
          <w:szCs w:val="23"/>
        </w:rPr>
        <w:t xml:space="preserve">5.  System Architecture</w:t>
      </w:r>
    </w:p>
    <w:p>
      <w:pPr>
        <w:spacing w:after="140"/>
      </w:pPr>
      <w:r>
        <w:rPr>
          <w:sz w:val="23"/>
          <w:szCs w:val="23"/>
        </w:rPr>
        <w:t xml:space="preserve">6.  What Will Make This Project Stand Out</w:t>
      </w:r>
    </w:p>
    <w:p>
      <w:pPr>
        <w:spacing w:after="140"/>
      </w:pPr>
      <w:r>
        <w:rPr>
          <w:sz w:val="23"/>
          <w:szCs w:val="23"/>
        </w:rPr>
        <w:t xml:space="preserve">7.  Suggested MVP Scope for the Hackathon Demo</w:t>
      </w:r>
    </w:p>
    <w:p>
      <w:pPr>
        <w:spacing w:after="140"/>
      </w:pPr>
      <w:r>
        <w:rPr>
          <w:sz w:val="23"/>
          <w:szCs w:val="23"/>
        </w:rPr>
        <w:t xml:space="preserve">8.  Suggested Technology Stack</w:t>
      </w:r>
    </w:p>
    <w:p>
      <w:pPr>
        <w:spacing w:after="140"/>
      </w:pPr>
      <w:r>
        <w:rPr>
          <w:sz w:val="23"/>
          <w:szCs w:val="23"/>
        </w:rPr>
        <w:t xml:space="preserve">9.  Development Roadmap</w:t>
      </w:r>
    </w:p>
    <w:p>
      <w:pPr>
        <w:spacing w:after="140"/>
      </w:pPr>
      <w:r>
        <w:rPr>
          <w:sz w:val="23"/>
          <w:szCs w:val="23"/>
        </w:rPr>
        <w:t xml:space="preserve">10. Expected Impact &amp; Feasibility</w:t>
      </w:r>
    </w:p>
    <w:p>
      <w:r>
        <w:br w:type="page"/>
      </w:r>
    </w:p>
    <w:p>
      <w:pPr>
        <w:pStyle w:val="Heading1"/>
        <w:spacing w:after="160" w:before="360"/>
      </w:pPr>
      <w:r>
        <w:t xml:space="preserve">1. Problem Statement Understanding</w:t>
      </w:r>
    </w:p>
    <w:p>
      <w:pPr>
        <w:spacing w:after="160" w:line="300"/>
      </w:pPr>
      <w:r>
        <w:rPr>
          <w:sz w:val="22"/>
          <w:szCs w:val="22"/>
        </w:rPr>
        <w:t xml:space="preserve">NASA FIRMS (Fire Information for Resource Management System) provides near real-time thermal anomaly data derived from MODIS and VIIRS satellite sensors. However, a raw thermal hotspot only tells us that a pixel is hotter than its surroundings — it does not tell us what is causing the heat. The core challenge in SIH26162 is to move beyond raw detection and build an intelligent system that can:</w:t>
      </w:r>
    </w:p>
    <w:p>
      <w:pPr>
        <w:pStyle w:val="ListParagraph"/>
        <w:numPr>
          <w:ilvl w:val="0"/>
          <w:numId w:val="2"/>
        </w:numPr>
        <w:spacing w:after="90"/>
      </w:pPr>
      <w:r>
        <w:rPr>
          <w:b w:val="false"/>
          <w:bCs w:val="false"/>
          <w:sz w:val="22"/>
          <w:szCs w:val="22"/>
        </w:rPr>
        <w:t xml:space="preserve">Detect thermal anomalies over industrial regions using satellite thermal data.</w:t>
      </w:r>
    </w:p>
    <w:p>
      <w:pPr>
        <w:pStyle w:val="ListParagraph"/>
        <w:numPr>
          <w:ilvl w:val="0"/>
          <w:numId w:val="2"/>
        </w:numPr>
        <w:spacing w:after="90"/>
      </w:pPr>
      <w:r>
        <w:rPr>
          <w:b w:val="false"/>
          <w:bCs w:val="false"/>
          <w:sz w:val="22"/>
          <w:szCs w:val="22"/>
        </w:rPr>
        <w:t xml:space="preserve">Classify each detection into meaningful categories (genuine fire incident vs. persistent operational thermal source).</w:t>
      </w:r>
    </w:p>
    <w:p>
      <w:pPr>
        <w:pStyle w:val="ListParagraph"/>
        <w:numPr>
          <w:ilvl w:val="0"/>
          <w:numId w:val="2"/>
        </w:numPr>
        <w:spacing w:after="90"/>
      </w:pPr>
      <w:r>
        <w:rPr>
          <w:b w:val="false"/>
          <w:bCs w:val="false"/>
          <w:sz w:val="22"/>
          <w:szCs w:val="22"/>
        </w:rPr>
        <w:t xml:space="preserve">Contextualize detections using ground-truth spatial data (OpenStreetMap industrial layers) and supplementary satellite imagery.</w:t>
      </w:r>
    </w:p>
    <w:p>
      <w:pPr>
        <w:pStyle w:val="ListParagraph"/>
        <w:numPr>
          <w:ilvl w:val="0"/>
          <w:numId w:val="2"/>
        </w:numPr>
        <w:spacing w:after="90"/>
      </w:pPr>
      <w:r>
        <w:rPr>
          <w:b w:val="false"/>
          <w:bCs w:val="false"/>
          <w:sz w:val="22"/>
          <w:szCs w:val="22"/>
        </w:rPr>
        <w:t xml:space="preserve">Alert relevant stakeholders when a new, unexplained, or dangerous thermal event occurs.</w:t>
      </w:r>
    </w:p>
    <w:p>
      <w:pPr>
        <w:pStyle w:val="Heading2"/>
        <w:spacing w:after="120" w:before="240"/>
      </w:pPr>
      <w:r>
        <w:t xml:space="preserve">1.1 Why This Problem Matters</w:t>
      </w:r>
    </w:p>
    <w:p>
      <w:pPr>
        <w:spacing w:after="160" w:line="300"/>
      </w:pPr>
      <w:r>
        <w:rPr>
          <w:sz w:val="22"/>
          <w:szCs w:val="22"/>
        </w:rPr>
        <w:t xml:space="preserve">Thermal anomaly feeds from FIRMS are extremely noisy for industrial monitoring use cases. A refinery flare, a steel plant, a brick kiln, and an actual uncontrolled industrial fire all show up identically as "hotspots" with no differentiation. This creates false alarm fatigue for disaster management authorities and pollution control boards, while genuine emergencies can get buried in the noise. An AI system that can reliably separate routine industrial heat signatures from real fire incidents has direct utility for:</w:t>
      </w:r>
    </w:p>
    <w:p>
      <w:pPr>
        <w:pStyle w:val="ListParagraph"/>
        <w:numPr>
          <w:ilvl w:val="0"/>
          <w:numId w:val="2"/>
        </w:numPr>
        <w:spacing w:after="90"/>
      </w:pPr>
      <w:r>
        <w:rPr>
          <w:b w:val="false"/>
          <w:bCs w:val="false"/>
          <w:sz w:val="22"/>
          <w:szCs w:val="22"/>
        </w:rPr>
        <w:t xml:space="preserve">State Disaster Management Authorities and Fire &amp; Emergency Services</w:t>
      </w:r>
    </w:p>
    <w:p>
      <w:pPr>
        <w:pStyle w:val="ListParagraph"/>
        <w:numPr>
          <w:ilvl w:val="0"/>
          <w:numId w:val="2"/>
        </w:numPr>
        <w:spacing w:after="90"/>
      </w:pPr>
      <w:r>
        <w:rPr>
          <w:b w:val="false"/>
          <w:bCs w:val="false"/>
          <w:sz w:val="22"/>
          <w:szCs w:val="22"/>
        </w:rPr>
        <w:t xml:space="preserve">Central and State Pollution Control Boards (persistent flaring / emissions monitoring)</w:t>
      </w:r>
    </w:p>
    <w:p>
      <w:pPr>
        <w:pStyle w:val="ListParagraph"/>
        <w:numPr>
          <w:ilvl w:val="0"/>
          <w:numId w:val="2"/>
        </w:numPr>
        <w:spacing w:after="90"/>
      </w:pPr>
      <w:r>
        <w:rPr>
          <w:b w:val="false"/>
          <w:bCs w:val="false"/>
          <w:sz w:val="22"/>
          <w:szCs w:val="22"/>
        </w:rPr>
        <w:t xml:space="preserve">Industrial safety regulators and insurance risk assessment</w:t>
      </w:r>
    </w:p>
    <w:p>
      <w:pPr>
        <w:pStyle w:val="ListParagraph"/>
        <w:numPr>
          <w:ilvl w:val="0"/>
          <w:numId w:val="2"/>
        </w:numPr>
        <w:spacing w:after="90"/>
      </w:pPr>
      <w:r>
        <w:rPr>
          <w:b w:val="false"/>
          <w:bCs w:val="false"/>
          <w:sz w:val="22"/>
          <w:szCs w:val="22"/>
        </w:rPr>
        <w:t xml:space="preserve">Environmental researchers tracking gas flaring and kiln emissions</w:t>
      </w:r>
    </w:p>
    <w:p>
      <w:pPr>
        <w:pStyle w:val="Heading1"/>
        <w:spacing w:after="160" w:before="360"/>
      </w:pPr>
      <w:r>
        <w:t xml:space="preserve">2. Project Objectives</w:t>
      </w:r>
    </w:p>
    <w:p>
      <w:pPr>
        <w:pStyle w:val="ListParagraph"/>
        <w:numPr>
          <w:ilvl w:val="0"/>
          <w:numId w:val="3"/>
        </w:numPr>
        <w:spacing w:after="90"/>
      </w:pPr>
      <w:r>
        <w:rPr>
          <w:sz w:val="22"/>
          <w:szCs w:val="22"/>
        </w:rPr>
        <w:t xml:space="preserve">Build a data pipeline that ingests and fuses NASA FIRMS thermal data with OpenStreetMap industrial infrastructure layers.</w:t>
      </w:r>
    </w:p>
    <w:p>
      <w:pPr>
        <w:pStyle w:val="ListParagraph"/>
        <w:numPr>
          <w:ilvl w:val="0"/>
          <w:numId w:val="3"/>
        </w:numPr>
        <w:spacing w:after="90"/>
      </w:pPr>
      <w:r>
        <w:rPr>
          <w:sz w:val="22"/>
          <w:szCs w:val="22"/>
        </w:rPr>
        <w:t xml:space="preserve">Engineer features that distinguish persistent operational thermal sources from anomalous/new fire events.</w:t>
      </w:r>
    </w:p>
    <w:p>
      <w:pPr>
        <w:pStyle w:val="ListParagraph"/>
        <w:numPr>
          <w:ilvl w:val="0"/>
          <w:numId w:val="3"/>
        </w:numPr>
        <w:spacing w:after="90"/>
      </w:pPr>
      <w:r>
        <w:rPr>
          <w:sz w:val="22"/>
          <w:szCs w:val="22"/>
        </w:rPr>
        <w:t xml:space="preserve">Train a classification model to label detections (e.g., industrial fire, gas flare, kiln/furnace, thermal power plant, agricultural burn, unclassified anomaly).</w:t>
      </w:r>
    </w:p>
    <w:p>
      <w:pPr>
        <w:pStyle w:val="ListParagraph"/>
        <w:numPr>
          <w:ilvl w:val="0"/>
          <w:numId w:val="3"/>
        </w:numPr>
        <w:spacing w:after="90"/>
      </w:pPr>
      <w:r>
        <w:rPr>
          <w:sz w:val="22"/>
          <w:szCs w:val="22"/>
        </w:rPr>
        <w:t xml:space="preserve">Validate model outputs against satellite optical imagery (Sentinel-2 / Landsat) and, where possible, real reported incidents.</w:t>
      </w:r>
    </w:p>
    <w:p>
      <w:pPr>
        <w:pStyle w:val="ListParagraph"/>
        <w:numPr>
          <w:ilvl w:val="0"/>
          <w:numId w:val="3"/>
        </w:numPr>
        <w:spacing w:after="90"/>
      </w:pPr>
      <w:r>
        <w:rPr>
          <w:sz w:val="22"/>
          <w:szCs w:val="22"/>
        </w:rPr>
        <w:t xml:space="preserve">Deliver an interactive dashboard with map-based visualization, historical trends, and a real-time alerting mechanism.</w:t>
      </w:r>
    </w:p>
    <w:p>
      <w:pPr>
        <w:pStyle w:val="Heading1"/>
        <w:spacing w:after="160" w:before="360"/>
      </w:pPr>
      <w:r>
        <w:t xml:space="preserve">3. Data Sources &amp; Fusion Strategy</w:t>
      </w:r>
    </w:p>
    <w:p>
      <w:pPr>
        <w:spacing w:after="160" w:line="300"/>
      </w:pPr>
      <w:r>
        <w:rPr>
          <w:sz w:val="22"/>
          <w:szCs w:val="22"/>
        </w:rPr>
        <w:t xml:space="preserve">The strength of this project lies in combining multiple independent, freely available data sources so that no single noisy signal drives the final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50"/>
      </w:tblGrid>
      <w:tr>
        <w:tc>
          <w:tcPr>
            <w:tcW w:type="dxa" w:w="2100"/>
            <w:shd w:fill="1F4E5C" w:color="auto" w:val="clear"/>
            <w:tcMar>
              <w:top w:type="dxa" w:w="80"/>
              <w:left w:type="dxa" w:w="100"/>
              <w:bottom w:type="dxa" w:w="80"/>
              <w:right w:type="dxa" w:w="100"/>
            </w:tcMar>
          </w:tcPr>
          <w:p>
            <w:r>
              <w:rPr>
                <w:b/>
                <w:bCs/>
                <w:color w:val="FFFFFF"/>
                <w:sz w:val="20"/>
                <w:szCs w:val="20"/>
              </w:rPr>
              <w:t xml:space="preserve">Data Source</w:t>
            </w:r>
          </w:p>
        </w:tc>
        <w:tc>
          <w:tcPr>
            <w:tcW w:type="dxa" w:w="3600"/>
            <w:shd w:fill="1F4E5C" w:color="auto" w:val="clear"/>
            <w:tcMar>
              <w:top w:type="dxa" w:w="80"/>
              <w:left w:type="dxa" w:w="100"/>
              <w:bottom w:type="dxa" w:w="80"/>
              <w:right w:type="dxa" w:w="100"/>
            </w:tcMar>
          </w:tcPr>
          <w:p>
            <w:r>
              <w:rPr>
                <w:b/>
                <w:bCs/>
                <w:color w:val="FFFFFF"/>
                <w:sz w:val="20"/>
                <w:szCs w:val="20"/>
              </w:rPr>
              <w:t xml:space="preserve">What It Provides</w:t>
            </w:r>
          </w:p>
        </w:tc>
        <w:tc>
          <w:tcPr>
            <w:tcW w:type="dxa" w:w="3650"/>
            <w:shd w:fill="1F4E5C" w:color="auto" w:val="clear"/>
            <w:tcMar>
              <w:top w:type="dxa" w:w="80"/>
              <w:left w:type="dxa" w:w="100"/>
              <w:bottom w:type="dxa" w:w="80"/>
              <w:right w:type="dxa" w:w="100"/>
            </w:tcMar>
          </w:tcPr>
          <w:p>
            <w:r>
              <w:rPr>
                <w:b/>
                <w:bCs/>
                <w:color w:val="FFFFFF"/>
                <w:sz w:val="20"/>
                <w:szCs w:val="20"/>
              </w:rPr>
              <w:t xml:space="preserve">Role in the Pipeline</w:t>
            </w:r>
          </w:p>
        </w:tc>
      </w:tr>
      <w:tr>
        <w:tc>
          <w:tcPr>
            <w:tcW w:type="dxa" w:w="2100"/>
            <w:shd w:fill="EDF2F4" w:color="auto" w:val="clear"/>
            <w:tcMar>
              <w:top w:type="dxa" w:w="80"/>
              <w:left w:type="dxa" w:w="100"/>
              <w:bottom w:type="dxa" w:w="80"/>
              <w:right w:type="dxa" w:w="100"/>
            </w:tcMar>
          </w:tcPr>
          <w:p>
            <w:r>
              <w:rPr>
                <w:b w:val="false"/>
                <w:bCs w:val="false"/>
                <w:color w:val="000000"/>
                <w:sz w:val="20"/>
                <w:szCs w:val="20"/>
              </w:rPr>
              <w:t xml:space="preserve">NASA FIRMS (MODIS / VIIRS)</w:t>
            </w:r>
          </w:p>
        </w:tc>
        <w:tc>
          <w:tcPr>
            <w:tcW w:type="dxa" w:w="3600"/>
            <w:tcMar>
              <w:top w:type="dxa" w:w="80"/>
              <w:left w:type="dxa" w:w="100"/>
              <w:bottom w:type="dxa" w:w="80"/>
              <w:right w:type="dxa" w:w="100"/>
            </w:tcMar>
          </w:tcPr>
          <w:p>
            <w:r>
              <w:rPr>
                <w:b w:val="false"/>
                <w:bCs w:val="false"/>
                <w:color w:val="000000"/>
                <w:sz w:val="20"/>
                <w:szCs w:val="20"/>
              </w:rPr>
              <w:t xml:space="preserve">Hotspot lat/lon, Fire Radiative Power (FRP), brightness temperature, confidence, day/night flag, acquisition timestamp</w:t>
            </w:r>
          </w:p>
        </w:tc>
        <w:tc>
          <w:tcPr>
            <w:tcW w:type="dxa" w:w="3650"/>
            <w:tcMar>
              <w:top w:type="dxa" w:w="80"/>
              <w:left w:type="dxa" w:w="100"/>
              <w:bottom w:type="dxa" w:w="80"/>
              <w:right w:type="dxa" w:w="100"/>
            </w:tcMar>
          </w:tcPr>
          <w:p>
            <w:r>
              <w:rPr>
                <w:b w:val="false"/>
                <w:bCs w:val="false"/>
                <w:color w:val="000000"/>
                <w:sz w:val="20"/>
                <w:szCs w:val="20"/>
              </w:rPr>
              <w:t xml:space="preserve">Primary detection signal; historical archive used to build persistence baselines</w:t>
            </w:r>
          </w:p>
        </w:tc>
      </w:tr>
      <w:tr>
        <w:tc>
          <w:tcPr>
            <w:tcW w:type="dxa" w:w="2100"/>
            <w:shd w:fill="EDF2F4" w:color="auto" w:val="clear"/>
            <w:tcMar>
              <w:top w:type="dxa" w:w="80"/>
              <w:left w:type="dxa" w:w="100"/>
              <w:bottom w:type="dxa" w:w="80"/>
              <w:right w:type="dxa" w:w="100"/>
            </w:tcMar>
          </w:tcPr>
          <w:p>
            <w:r>
              <w:rPr>
                <w:b w:val="false"/>
                <w:bCs w:val="false"/>
                <w:color w:val="000000"/>
                <w:sz w:val="20"/>
                <w:szCs w:val="20"/>
              </w:rPr>
              <w:t xml:space="preserve">OpenStreetMap (Overpass API)</w:t>
            </w:r>
          </w:p>
        </w:tc>
        <w:tc>
          <w:tcPr>
            <w:tcW w:type="dxa" w:w="3600"/>
            <w:tcMar>
              <w:top w:type="dxa" w:w="80"/>
              <w:left w:type="dxa" w:w="100"/>
              <w:bottom w:type="dxa" w:w="80"/>
              <w:right w:type="dxa" w:w="100"/>
            </w:tcMar>
          </w:tcPr>
          <w:p>
            <w:r>
              <w:rPr>
                <w:b w:val="false"/>
                <w:bCs w:val="false"/>
                <w:color w:val="000000"/>
                <w:sz w:val="20"/>
                <w:szCs w:val="20"/>
              </w:rPr>
              <w:t xml:space="preserve">Industrial land-use polygons, power plants, factories, kilns, refineries</w:t>
            </w:r>
          </w:p>
        </w:tc>
        <w:tc>
          <w:tcPr>
            <w:tcW w:type="dxa" w:w="3650"/>
            <w:tcMar>
              <w:top w:type="dxa" w:w="80"/>
              <w:left w:type="dxa" w:w="100"/>
              <w:bottom w:type="dxa" w:w="80"/>
              <w:right w:type="dxa" w:w="100"/>
            </w:tcMar>
          </w:tcPr>
          <w:p>
            <w:r>
              <w:rPr>
                <w:b w:val="false"/>
                <w:bCs w:val="false"/>
                <w:color w:val="000000"/>
                <w:sz w:val="20"/>
                <w:szCs w:val="20"/>
              </w:rPr>
              <w:t xml:space="preserve">Spatial context — links hotspots to known industrial sites vs. open/agricultural land</w:t>
            </w:r>
          </w:p>
        </w:tc>
      </w:tr>
      <w:tr>
        <w:tc>
          <w:tcPr>
            <w:tcW w:type="dxa" w:w="2100"/>
            <w:shd w:fill="EDF2F4" w:color="auto" w:val="clear"/>
            <w:tcMar>
              <w:top w:type="dxa" w:w="80"/>
              <w:left w:type="dxa" w:w="100"/>
              <w:bottom w:type="dxa" w:w="80"/>
              <w:right w:type="dxa" w:w="100"/>
            </w:tcMar>
          </w:tcPr>
          <w:p>
            <w:r>
              <w:rPr>
                <w:b w:val="false"/>
                <w:bCs w:val="false"/>
                <w:color w:val="000000"/>
                <w:sz w:val="20"/>
                <w:szCs w:val="20"/>
              </w:rPr>
              <w:t xml:space="preserve">Sentinel-2 / Landsat (optical)</w:t>
            </w:r>
          </w:p>
        </w:tc>
        <w:tc>
          <w:tcPr>
            <w:tcW w:type="dxa" w:w="3600"/>
            <w:tcMar>
              <w:top w:type="dxa" w:w="80"/>
              <w:left w:type="dxa" w:w="100"/>
              <w:bottom w:type="dxa" w:w="80"/>
              <w:right w:type="dxa" w:w="100"/>
            </w:tcMar>
          </w:tcPr>
          <w:p>
            <w:r>
              <w:rPr>
                <w:b w:val="false"/>
                <w:bCs w:val="false"/>
                <w:color w:val="000000"/>
                <w:sz w:val="20"/>
                <w:szCs w:val="20"/>
              </w:rPr>
              <w:t xml:space="preserve">High-resolution imagery for visual confirmation</w:t>
            </w:r>
          </w:p>
        </w:tc>
        <w:tc>
          <w:tcPr>
            <w:tcW w:type="dxa" w:w="3650"/>
            <w:tcMar>
              <w:top w:type="dxa" w:w="80"/>
              <w:left w:type="dxa" w:w="100"/>
              <w:bottom w:type="dxa" w:w="80"/>
              <w:right w:type="dxa" w:w="100"/>
            </w:tcMar>
          </w:tcPr>
          <w:p>
            <w:r>
              <w:rPr>
                <w:b w:val="false"/>
                <w:bCs w:val="false"/>
                <w:color w:val="000000"/>
                <w:sz w:val="20"/>
                <w:szCs w:val="20"/>
              </w:rPr>
              <w:t xml:space="preserve">Confirms smoke plumes, burn scars, structural change around a detection</w:t>
            </w:r>
          </w:p>
        </w:tc>
      </w:tr>
      <w:tr>
        <w:tc>
          <w:tcPr>
            <w:tcW w:type="dxa" w:w="2100"/>
            <w:shd w:fill="EDF2F4" w:color="auto" w:val="clear"/>
            <w:tcMar>
              <w:top w:type="dxa" w:w="80"/>
              <w:left w:type="dxa" w:w="100"/>
              <w:bottom w:type="dxa" w:w="80"/>
              <w:right w:type="dxa" w:w="100"/>
            </w:tcMar>
          </w:tcPr>
          <w:p>
            <w:r>
              <w:rPr>
                <w:b w:val="false"/>
                <w:bCs w:val="false"/>
                <w:color w:val="000000"/>
                <w:sz w:val="20"/>
                <w:szCs w:val="20"/>
              </w:rPr>
              <w:t xml:space="preserve">Sentinel-5P (TROPOMI)</w:t>
            </w:r>
          </w:p>
        </w:tc>
        <w:tc>
          <w:tcPr>
            <w:tcW w:type="dxa" w:w="3600"/>
            <w:tcMar>
              <w:top w:type="dxa" w:w="80"/>
              <w:left w:type="dxa" w:w="100"/>
              <w:bottom w:type="dxa" w:w="80"/>
              <w:right w:type="dxa" w:w="100"/>
            </w:tcMar>
          </w:tcPr>
          <w:p>
            <w:r>
              <w:rPr>
                <w:b w:val="false"/>
                <w:bCs w:val="false"/>
                <w:color w:val="000000"/>
                <w:sz w:val="20"/>
                <w:szCs w:val="20"/>
              </w:rPr>
              <w:t xml:space="preserve">Atmospheric SO2 / NO2 column density</w:t>
            </w:r>
          </w:p>
        </w:tc>
        <w:tc>
          <w:tcPr>
            <w:tcW w:type="dxa" w:w="3650"/>
            <w:tcMar>
              <w:top w:type="dxa" w:w="80"/>
              <w:left w:type="dxa" w:w="100"/>
              <w:bottom w:type="dxa" w:w="80"/>
              <w:right w:type="dxa" w:w="100"/>
            </w:tcMar>
          </w:tcPr>
          <w:p>
            <w:r>
              <w:rPr>
                <w:b w:val="false"/>
                <w:bCs w:val="false"/>
                <w:color w:val="000000"/>
                <w:sz w:val="20"/>
                <w:szCs w:val="20"/>
              </w:rPr>
              <w:t xml:space="preserve">Emission-signature check — industrial/flare sources differ from biomass burning</w:t>
            </w:r>
          </w:p>
        </w:tc>
      </w:tr>
      <w:tr>
        <w:tc>
          <w:tcPr>
            <w:tcW w:type="dxa" w:w="2100"/>
            <w:shd w:fill="EDF2F4" w:color="auto" w:val="clear"/>
            <w:tcMar>
              <w:top w:type="dxa" w:w="80"/>
              <w:left w:type="dxa" w:w="100"/>
              <w:bottom w:type="dxa" w:w="80"/>
              <w:right w:type="dxa" w:w="100"/>
            </w:tcMar>
          </w:tcPr>
          <w:p>
            <w:r>
              <w:rPr>
                <w:b w:val="false"/>
                <w:bCs w:val="false"/>
                <w:color w:val="000000"/>
                <w:sz w:val="20"/>
                <w:szCs w:val="20"/>
              </w:rPr>
              <w:t xml:space="preserve">VIIRS Nightfire (NOAA)</w:t>
            </w:r>
          </w:p>
        </w:tc>
        <w:tc>
          <w:tcPr>
            <w:tcW w:type="dxa" w:w="3600"/>
            <w:tcMar>
              <w:top w:type="dxa" w:w="80"/>
              <w:left w:type="dxa" w:w="100"/>
              <w:bottom w:type="dxa" w:w="80"/>
              <w:right w:type="dxa" w:w="100"/>
            </w:tcMar>
          </w:tcPr>
          <w:p>
            <w:r>
              <w:rPr>
                <w:b w:val="false"/>
                <w:bCs w:val="false"/>
                <w:color w:val="000000"/>
                <w:sz w:val="20"/>
                <w:szCs w:val="20"/>
              </w:rPr>
              <w:t xml:space="preserve">Specialized gas-flare detection product</w:t>
            </w:r>
          </w:p>
        </w:tc>
        <w:tc>
          <w:tcPr>
            <w:tcW w:type="dxa" w:w="3650"/>
            <w:tcMar>
              <w:top w:type="dxa" w:w="80"/>
              <w:left w:type="dxa" w:w="100"/>
              <w:bottom w:type="dxa" w:w="80"/>
              <w:right w:type="dxa" w:w="100"/>
            </w:tcMar>
          </w:tcPr>
          <w:p>
            <w:r>
              <w:rPr>
                <w:b w:val="false"/>
                <w:bCs w:val="false"/>
                <w:color w:val="000000"/>
                <w:sz w:val="20"/>
                <w:szCs w:val="20"/>
              </w:rPr>
              <w:t xml:space="preserve">Reference dataset for validating flare classification</w:t>
            </w:r>
          </w:p>
        </w:tc>
      </w:tr>
      <w:tr>
        <w:tc>
          <w:tcPr>
            <w:tcW w:type="dxa" w:w="2100"/>
            <w:shd w:fill="EDF2F4" w:color="auto" w:val="clear"/>
            <w:tcMar>
              <w:top w:type="dxa" w:w="80"/>
              <w:left w:type="dxa" w:w="100"/>
              <w:bottom w:type="dxa" w:w="80"/>
              <w:right w:type="dxa" w:w="100"/>
            </w:tcMar>
          </w:tcPr>
          <w:p>
            <w:r>
              <w:rPr>
                <w:b w:val="false"/>
                <w:bCs w:val="false"/>
                <w:color w:val="000000"/>
                <w:sz w:val="20"/>
                <w:szCs w:val="20"/>
              </w:rPr>
              <w:t xml:space="preserve">Weather Data (wind speed/direction)</w:t>
            </w:r>
          </w:p>
        </w:tc>
        <w:tc>
          <w:tcPr>
            <w:tcW w:type="dxa" w:w="3600"/>
            <w:tcMar>
              <w:top w:type="dxa" w:w="80"/>
              <w:left w:type="dxa" w:w="100"/>
              <w:bottom w:type="dxa" w:w="80"/>
              <w:right w:type="dxa" w:w="100"/>
            </w:tcMar>
          </w:tcPr>
          <w:p>
            <w:r>
              <w:rPr>
                <w:b w:val="false"/>
                <w:bCs w:val="false"/>
                <w:color w:val="000000"/>
                <w:sz w:val="20"/>
                <w:szCs w:val="20"/>
              </w:rPr>
              <w:t xml:space="preserve">Local meteorological conditions</w:t>
            </w:r>
          </w:p>
        </w:tc>
        <w:tc>
          <w:tcPr>
            <w:tcW w:type="dxa" w:w="3650"/>
            <w:tcMar>
              <w:top w:type="dxa" w:w="80"/>
              <w:left w:type="dxa" w:w="100"/>
              <w:bottom w:type="dxa" w:w="80"/>
              <w:right w:type="dxa" w:w="100"/>
            </w:tcMar>
          </w:tcPr>
          <w:p>
            <w:r>
              <w:rPr>
                <w:b w:val="false"/>
                <w:bCs w:val="false"/>
                <w:color w:val="000000"/>
                <w:sz w:val="20"/>
                <w:szCs w:val="20"/>
              </w:rPr>
              <w:t xml:space="preserve">Optional extension: fire-spread risk estimation</w:t>
            </w:r>
          </w:p>
        </w:tc>
      </w:tr>
    </w:tbl>
    <w:p>
      <w:pPr>
        <w:spacing w:after="200"/>
      </w:pPr>
    </w:p>
    <w:p>
      <w:pPr>
        <w:pStyle w:val="Heading1"/>
        <w:spacing w:after="160" w:before="360"/>
      </w:pPr>
      <w:r>
        <w:t xml:space="preserve">4. Proposed Methodology</w:t>
      </w:r>
    </w:p>
    <w:p>
      <w:pPr>
        <w:pStyle w:val="Heading2"/>
        <w:spacing w:after="120" w:before="240"/>
      </w:pPr>
      <w:r>
        <w:t xml:space="preserve">4.1 Step-by-Step Classification Logic</w:t>
      </w:r>
    </w:p>
    <w:p>
      <w:pPr>
        <w:pStyle w:val="ListParagraph"/>
        <w:numPr>
          <w:ilvl w:val="0"/>
          <w:numId w:val="4"/>
        </w:numPr>
        <w:spacing w:after="90"/>
      </w:pPr>
      <w:r>
        <w:rPr>
          <w:sz w:val="22"/>
          <w:szCs w:val="22"/>
        </w:rPr>
        <w:t xml:space="preserve">Spatial Join: For every FIRMS hotspot, check whether it falls inside or within a defined buffer of an OSM-tagged industrial polygon.</w:t>
      </w:r>
    </w:p>
    <w:p>
      <w:pPr>
        <w:pStyle w:val="ListParagraph"/>
        <w:numPr>
          <w:ilvl w:val="0"/>
          <w:numId w:val="4"/>
        </w:numPr>
        <w:spacing w:after="90"/>
      </w:pPr>
      <w:r>
        <w:rPr>
          <w:sz w:val="22"/>
          <w:szCs w:val="22"/>
        </w:rPr>
        <w:t xml:space="preserve">Temporal Persistence Check: Query the historical FIRMS archive for that location. Frequent, recurring detections over weeks/months indicate a persistent operational source (flare, kiln); a sudden first-time appearance indicates a potential incident.</w:t>
      </w:r>
    </w:p>
    <w:p>
      <w:pPr>
        <w:pStyle w:val="ListParagraph"/>
        <w:numPr>
          <w:ilvl w:val="0"/>
          <w:numId w:val="4"/>
        </w:numPr>
        <w:spacing w:after="90"/>
      </w:pPr>
      <w:r>
        <w:rPr>
          <w:sz w:val="22"/>
          <w:szCs w:val="22"/>
        </w:rPr>
        <w:t xml:space="preserve">Diurnal Pattern Analysis: Continuous day-and-night detection is typical of flares/kilns; a distinct single ignition point with a clear start time suggests an accidental fire.</w:t>
      </w:r>
    </w:p>
    <w:p>
      <w:pPr>
        <w:pStyle w:val="ListParagraph"/>
        <w:numPr>
          <w:ilvl w:val="0"/>
          <w:numId w:val="4"/>
        </w:numPr>
        <w:spacing w:after="90"/>
      </w:pPr>
      <w:r>
        <w:rPr>
          <w:sz w:val="22"/>
          <w:szCs w:val="22"/>
        </w:rPr>
        <w:t xml:space="preserve">FRP Magnitude &amp; Anomaly Scoring: Compare current Fire Radiative Power against the historical baseline (z-score) for that specific site — sudden spikes above baseline flag likely incidents.</w:t>
      </w:r>
    </w:p>
    <w:p>
      <w:pPr>
        <w:pStyle w:val="ListParagraph"/>
        <w:numPr>
          <w:ilvl w:val="0"/>
          <w:numId w:val="4"/>
        </w:numPr>
        <w:spacing w:after="90"/>
      </w:pPr>
      <w:r>
        <w:rPr>
          <w:sz w:val="22"/>
          <w:szCs w:val="22"/>
        </w:rPr>
        <w:t xml:space="preserve">Optical &amp; Emission Corroboration: Cross-check with Sentinel-2 imagery (smoke plume/burn scar) and Sentinel-5P SO2/NO2 anomalies for the same time window.</w:t>
      </w:r>
    </w:p>
    <w:p>
      <w:pPr>
        <w:pStyle w:val="ListParagraph"/>
        <w:numPr>
          <w:ilvl w:val="0"/>
          <w:numId w:val="4"/>
        </w:numPr>
        <w:spacing w:after="90"/>
      </w:pPr>
      <w:r>
        <w:rPr>
          <w:sz w:val="22"/>
          <w:szCs w:val="22"/>
        </w:rPr>
        <w:t xml:space="preserve">Final Classification: Feed the engineered features into a multi-class classifier producing a label plus a confidence/explainability score.</w:t>
      </w:r>
    </w:p>
    <w:p>
      <w:pPr>
        <w:pStyle w:val="Heading2"/>
        <w:spacing w:after="120" w:before="240"/>
      </w:pPr>
      <w:r>
        <w:t xml:space="preserve">4.2 Feature Engineering (Model Inputs)</w:t>
      </w:r>
    </w:p>
    <w:p>
      <w:pPr>
        <w:pStyle w:val="ListParagraph"/>
        <w:numPr>
          <w:ilvl w:val="0"/>
          <w:numId w:val="2"/>
        </w:numPr>
        <w:spacing w:after="90"/>
      </w:pPr>
      <w:r>
        <w:rPr>
          <w:b w:val="false"/>
          <w:bCs w:val="false"/>
          <w:sz w:val="22"/>
          <w:szCs w:val="22"/>
        </w:rPr>
        <w:t xml:space="preserve">Distance to nearest OSM industrial polygon</w:t>
      </w:r>
    </w:p>
    <w:p>
      <w:pPr>
        <w:pStyle w:val="ListParagraph"/>
        <w:numPr>
          <w:ilvl w:val="0"/>
          <w:numId w:val="2"/>
        </w:numPr>
        <w:spacing w:after="90"/>
      </w:pPr>
      <w:r>
        <w:rPr>
          <w:b w:val="false"/>
          <w:bCs w:val="false"/>
          <w:sz w:val="22"/>
          <w:szCs w:val="22"/>
        </w:rPr>
        <w:t xml:space="preserve">Historical detection frequency at this location (trailing 30/90/365 days)</w:t>
      </w:r>
    </w:p>
    <w:p>
      <w:pPr>
        <w:pStyle w:val="ListParagraph"/>
        <w:numPr>
          <w:ilvl w:val="0"/>
          <w:numId w:val="2"/>
        </w:numPr>
        <w:spacing w:after="90"/>
      </w:pPr>
      <w:r>
        <w:rPr>
          <w:b w:val="false"/>
          <w:bCs w:val="false"/>
          <w:sz w:val="22"/>
          <w:szCs w:val="22"/>
        </w:rPr>
        <w:t xml:space="preserve">FRP value and FRP z-score vs. site-specific historical baseline</w:t>
      </w:r>
    </w:p>
    <w:p>
      <w:pPr>
        <w:pStyle w:val="ListParagraph"/>
        <w:numPr>
          <w:ilvl w:val="0"/>
          <w:numId w:val="2"/>
        </w:numPr>
        <w:spacing w:after="90"/>
      </w:pPr>
      <w:r>
        <w:rPr>
          <w:b w:val="false"/>
          <w:bCs w:val="false"/>
          <w:sz w:val="22"/>
          <w:szCs w:val="22"/>
        </w:rPr>
        <w:t xml:space="preserve">Day/night detection ratio</w:t>
      </w:r>
    </w:p>
    <w:p>
      <w:pPr>
        <w:pStyle w:val="ListParagraph"/>
        <w:numPr>
          <w:ilvl w:val="0"/>
          <w:numId w:val="2"/>
        </w:numPr>
        <w:spacing w:after="90"/>
      </w:pPr>
      <w:r>
        <w:rPr>
          <w:b w:val="false"/>
          <w:bCs w:val="false"/>
          <w:sz w:val="22"/>
          <w:szCs w:val="22"/>
        </w:rPr>
        <w:t xml:space="preserve">Brightness temperature trend</w:t>
      </w:r>
    </w:p>
    <w:p>
      <w:pPr>
        <w:pStyle w:val="ListParagraph"/>
        <w:numPr>
          <w:ilvl w:val="0"/>
          <w:numId w:val="2"/>
        </w:numPr>
        <w:spacing w:after="90"/>
      </w:pPr>
      <w:r>
        <w:rPr>
          <w:b w:val="false"/>
          <w:bCs w:val="false"/>
          <w:sz w:val="22"/>
          <w:szCs w:val="22"/>
        </w:rPr>
        <w:t xml:space="preserve">SO2 / NO2 anomaly (if TROPOMI data available)</w:t>
      </w:r>
    </w:p>
    <w:p>
      <w:pPr>
        <w:pStyle w:val="ListParagraph"/>
        <w:numPr>
          <w:ilvl w:val="0"/>
          <w:numId w:val="2"/>
        </w:numPr>
        <w:spacing w:after="90"/>
      </w:pPr>
      <w:r>
        <w:rPr>
          <w:b w:val="false"/>
          <w:bCs w:val="false"/>
          <w:sz w:val="22"/>
          <w:szCs w:val="22"/>
        </w:rPr>
        <w:t xml:space="preserve">Seasonal flag (for agricultural stubble-burning season, relevant in North India)</w:t>
      </w:r>
    </w:p>
    <w:p>
      <w:pPr>
        <w:pStyle w:val="Heading2"/>
        <w:spacing w:after="120" w:before="240"/>
      </w:pPr>
      <w:r>
        <w:t xml:space="preserve">4.3 Model Approach</w:t>
      </w:r>
    </w:p>
    <w:p>
      <w:pPr>
        <w:pStyle w:val="ListParagraph"/>
        <w:numPr>
          <w:ilvl w:val="0"/>
          <w:numId w:val="2"/>
        </w:numPr>
        <w:spacing w:after="90"/>
      </w:pPr>
      <w:r>
        <w:rPr>
          <w:b w:val="false"/>
          <w:bCs w:val="false"/>
          <w:sz w:val="22"/>
          <w:szCs w:val="22"/>
        </w:rPr>
        <w:t xml:space="preserve">Anomaly detection layer: Isolation Forest / statistical z-score model to flag "new vs. known" thermal sources with minimal labeled data.</w:t>
      </w:r>
    </w:p>
    <w:p>
      <w:pPr>
        <w:pStyle w:val="ListParagraph"/>
        <w:numPr>
          <w:ilvl w:val="0"/>
          <w:numId w:val="2"/>
        </w:numPr>
        <w:spacing w:after="90"/>
      </w:pPr>
      <w:r>
        <w:rPr>
          <w:b w:val="false"/>
          <w:bCs w:val="false"/>
          <w:sz w:val="22"/>
          <w:szCs w:val="22"/>
        </w:rPr>
        <w:t xml:space="preserve">Supervised multi-class classifier: XGBoost / Random Forest / lightweight neural network to assign category labels (industrial fire, flare, kiln, power plant, agricultural burn, unclassified).</w:t>
      </w:r>
    </w:p>
    <w:p>
      <w:pPr>
        <w:pStyle w:val="ListParagraph"/>
        <w:numPr>
          <w:ilvl w:val="0"/>
          <w:numId w:val="2"/>
        </w:numPr>
        <w:spacing w:after="90"/>
      </w:pPr>
      <w:r>
        <w:rPr>
          <w:b w:val="false"/>
          <w:bCs w:val="false"/>
          <w:sz w:val="22"/>
          <w:szCs w:val="22"/>
        </w:rPr>
        <w:t xml:space="preserve">Explainability layer: SHAP or simple rule-trace output so every classification shows the top contributing factors — important for stakeholder trust and for the SIH demo.</w:t>
      </w:r>
    </w:p>
    <w:p>
      <w:pPr>
        <w:pStyle w:val="Heading1"/>
        <w:spacing w:after="160" w:before="360"/>
      </w:pPr>
      <w:r>
        <w:t xml:space="preserve">5. System Architecture</w:t>
      </w:r>
    </w:p>
    <w:p>
      <w:pPr>
        <w:spacing w:after="160" w:line="300"/>
      </w:pPr>
      <w:r>
        <w:rPr>
          <w:sz w:val="22"/>
          <w:szCs w:val="22"/>
        </w:rPr>
        <w:t xml:space="preserve">The system is organized into four layers:</w:t>
      </w:r>
    </w:p>
    <w:p>
      <w:pPr>
        <w:pStyle w:val="Heading3"/>
        <w:spacing w:after="100" w:before="180"/>
      </w:pPr>
      <w:r>
        <w:t xml:space="preserve">Layer 1 — Data Ingestion</w:t>
      </w:r>
    </w:p>
    <w:p>
      <w:pPr>
        <w:spacing w:after="160" w:line="300"/>
      </w:pPr>
      <w:r>
        <w:rPr>
          <w:sz w:val="22"/>
          <w:szCs w:val="22"/>
        </w:rPr>
        <w:t xml:space="preserve">Scheduled jobs pull FIRMS active-fire data (API/CSV feeds), OSM industrial layers (Overpass API, refreshed periodically), and optical/atmospheric imagery for regions of interest.</w:t>
      </w:r>
    </w:p>
    <w:p>
      <w:pPr>
        <w:pStyle w:val="Heading3"/>
        <w:spacing w:after="100" w:before="180"/>
      </w:pPr>
      <w:r>
        <w:t xml:space="preserve">Layer 2 — Processing &amp; Feature Store</w:t>
      </w:r>
    </w:p>
    <w:p>
      <w:pPr>
        <w:spacing w:after="160" w:line="300"/>
      </w:pPr>
      <w:r>
        <w:rPr>
          <w:sz w:val="22"/>
          <w:szCs w:val="22"/>
        </w:rPr>
        <w:t xml:space="preserve">Spatial joins, historical baseline computation, and feature engineering are performed here; results are stored in a geospatial database (e.g., PostGIS) for fast querying.</w:t>
      </w:r>
    </w:p>
    <w:p>
      <w:pPr>
        <w:pStyle w:val="Heading3"/>
        <w:spacing w:after="100" w:before="180"/>
      </w:pPr>
      <w:r>
        <w:t xml:space="preserve">Layer 3 — Intelligence Layer</w:t>
      </w:r>
    </w:p>
    <w:p>
      <w:pPr>
        <w:spacing w:after="160" w:line="300"/>
      </w:pPr>
      <w:r>
        <w:rPr>
          <w:sz w:val="22"/>
          <w:szCs w:val="22"/>
        </w:rPr>
        <w:t xml:space="preserve">The anomaly detection and classification models run on incoming and historical data, producing a labeled, confidence-scored event stream.</w:t>
      </w:r>
    </w:p>
    <w:p>
      <w:pPr>
        <w:pStyle w:val="Heading3"/>
        <w:spacing w:after="100" w:before="180"/>
      </w:pPr>
      <w:r>
        <w:t xml:space="preserve">Layer 4 — Presentation &amp; Alerting</w:t>
      </w:r>
    </w:p>
    <w:p>
      <w:pPr>
        <w:spacing w:after="160" w:line="300"/>
      </w:pPr>
      <w:r>
        <w:rPr>
          <w:sz w:val="22"/>
          <w:szCs w:val="22"/>
        </w:rPr>
        <w:t xml:space="preserve">A map-based web dashboard displays classified events with color coding; an alerting module (SMS/email/webhook) notifies stakeholders when a new, high-confidence anomalous event appears near an industrial zone.</w:t>
      </w:r>
    </w:p>
    <w:p>
      <w:pPr>
        <w:pStyle w:val="Heading1"/>
        <w:spacing w:after="160" w:before="360"/>
      </w:pPr>
      <w:r>
        <w:t xml:space="preserve">6. What Will Make This Project Stand Out</w:t>
      </w:r>
    </w:p>
    <w:p>
      <w:pPr>
        <w:pStyle w:val="ListParagraph"/>
        <w:numPr>
          <w:ilvl w:val="0"/>
          <w:numId w:val="2"/>
        </w:numPr>
        <w:spacing w:after="90"/>
      </w:pPr>
      <w:r>
        <w:rPr>
          <w:b/>
          <w:bCs/>
          <w:sz w:val="22"/>
          <w:szCs w:val="22"/>
        </w:rPr>
        <w:t xml:space="preserve">Live, India-focused dashboard distinguishing persistent industrial thermal sources from genuine new fire alerts and agricultural burning, with color-coded map markers.</w:t>
      </w:r>
    </w:p>
    <w:p>
      <w:pPr>
        <w:pStyle w:val="ListParagraph"/>
        <w:numPr>
          <w:ilvl w:val="0"/>
          <w:numId w:val="2"/>
        </w:numPr>
        <w:spacing w:after="90"/>
      </w:pPr>
      <w:r>
        <w:rPr>
          <w:b/>
          <w:bCs/>
          <w:sz w:val="22"/>
          <w:szCs w:val="22"/>
        </w:rPr>
        <w:t xml:space="preserve">Proactive alerting: notification triggers only for statistically novel hotspots near industrial zones — directly addresses false-alarm fatigue.</w:t>
      </w:r>
    </w:p>
    <w:p>
      <w:pPr>
        <w:pStyle w:val="ListParagraph"/>
        <w:numPr>
          <w:ilvl w:val="0"/>
          <w:numId w:val="2"/>
        </w:numPr>
        <w:spacing w:after="90"/>
      </w:pPr>
      <w:r>
        <w:rPr>
          <w:b/>
          <w:bCs/>
          <w:sz w:val="22"/>
          <w:szCs w:val="22"/>
        </w:rPr>
        <w:t xml:space="preserve">Explainable AI: every classification shows the contributing factors (persistence history, FRP anomaly, spatial context) rather than a black-box label.</w:t>
      </w:r>
    </w:p>
    <w:p>
      <w:pPr>
        <w:pStyle w:val="ListParagraph"/>
        <w:numPr>
          <w:ilvl w:val="0"/>
          <w:numId w:val="2"/>
        </w:numPr>
        <w:spacing w:after="90"/>
      </w:pPr>
      <w:r>
        <w:rPr>
          <w:b/>
          <w:bCs/>
          <w:sz w:val="22"/>
          <w:szCs w:val="22"/>
        </w:rPr>
        <w:t xml:space="preserve">Validation against real incidents: back-testing the model against 5–10 known, publicly reported Indian industrial fire events to demonstrate it would have flagged them correctly.</w:t>
      </w:r>
    </w:p>
    <w:p>
      <w:pPr>
        <w:pStyle w:val="ListParagraph"/>
        <w:numPr>
          <w:ilvl w:val="0"/>
          <w:numId w:val="2"/>
        </w:numPr>
        <w:spacing w:after="90"/>
      </w:pPr>
      <w:r>
        <w:rPr>
          <w:b/>
          <w:bCs/>
          <w:sz w:val="22"/>
          <w:szCs w:val="22"/>
        </w:rPr>
        <w:t xml:space="preserve">Extended use case: gas-flare volume estimation for emissions/ESG reporting, broadening applicability beyond emergency response into environmental compliance.</w:t>
      </w:r>
    </w:p>
    <w:p>
      <w:pPr>
        <w:pStyle w:val="Heading1"/>
        <w:spacing w:after="160" w:before="360"/>
      </w:pPr>
      <w:r>
        <w:t xml:space="preserve">7. Suggested MVP Scope for the Hackathon Demo</w:t>
      </w:r>
    </w:p>
    <w:p>
      <w:pPr>
        <w:pStyle w:val="ListParagraph"/>
        <w:numPr>
          <w:ilvl w:val="0"/>
          <w:numId w:val="5"/>
        </w:numPr>
        <w:spacing w:after="90"/>
      </w:pPr>
      <w:r>
        <w:rPr>
          <w:sz w:val="22"/>
          <w:szCs w:val="22"/>
        </w:rPr>
        <w:t xml:space="preserve">Ingest 30–90 days of FIRMS data for a chosen industrial belt (e.g., Jamnagar, Visakhapatnam, or an NCR industrial cluster).</w:t>
      </w:r>
    </w:p>
    <w:p>
      <w:pPr>
        <w:pStyle w:val="ListParagraph"/>
        <w:numPr>
          <w:ilvl w:val="0"/>
          <w:numId w:val="5"/>
        </w:numPr>
        <w:spacing w:after="90"/>
      </w:pPr>
      <w:r>
        <w:rPr>
          <w:sz w:val="22"/>
          <w:szCs w:val="22"/>
        </w:rPr>
        <w:t xml:space="preserve">Overlay OSM industrial polygons for that region.</w:t>
      </w:r>
    </w:p>
    <w:p>
      <w:pPr>
        <w:pStyle w:val="ListParagraph"/>
        <w:numPr>
          <w:ilvl w:val="0"/>
          <w:numId w:val="5"/>
        </w:numPr>
        <w:spacing w:after="90"/>
      </w:pPr>
      <w:r>
        <w:rPr>
          <w:sz w:val="22"/>
          <w:szCs w:val="22"/>
        </w:rPr>
        <w:t xml:space="preserve">Run the persistence + anomaly + classification pipeline on the ingested data.</w:t>
      </w:r>
    </w:p>
    <w:p>
      <w:pPr>
        <w:pStyle w:val="ListParagraph"/>
        <w:numPr>
          <w:ilvl w:val="0"/>
          <w:numId w:val="5"/>
        </w:numPr>
        <w:spacing w:after="90"/>
      </w:pPr>
      <w:r>
        <w:rPr>
          <w:sz w:val="22"/>
          <w:szCs w:val="22"/>
        </w:rPr>
        <w:t xml:space="preserve">Present results on a web dashboard with a live map, event feed, and 2–3 validated case studies compared against real reported incidents.</w:t>
      </w:r>
    </w:p>
    <w:p>
      <w:pPr>
        <w:pStyle w:val="Heading1"/>
        <w:spacing w:after="160" w:before="360"/>
      </w:pPr>
      <w:r>
        <w:t xml:space="preserve">8. Suggested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4E5C" w:color="auto" w:val="clear"/>
            <w:tcMar>
              <w:top w:type="dxa" w:w="80"/>
              <w:left w:type="dxa" w:w="100"/>
              <w:bottom w:type="dxa" w:w="80"/>
              <w:right w:type="dxa" w:w="100"/>
            </w:tcMar>
          </w:tcPr>
          <w:p>
            <w:r>
              <w:rPr>
                <w:b/>
                <w:bCs/>
                <w:color w:val="FFFFFF"/>
                <w:sz w:val="20"/>
                <w:szCs w:val="20"/>
              </w:rPr>
              <w:t xml:space="preserve">Component</w:t>
            </w:r>
          </w:p>
        </w:tc>
        <w:tc>
          <w:tcPr>
            <w:tcW w:type="dxa" w:w="6550"/>
            <w:shd w:fill="1F4E5C" w:color="auto" w:val="clear"/>
            <w:tcMar>
              <w:top w:type="dxa" w:w="80"/>
              <w:left w:type="dxa" w:w="100"/>
              <w:bottom w:type="dxa" w:w="80"/>
              <w:right w:type="dxa" w:w="100"/>
            </w:tcMar>
          </w:tcPr>
          <w:p>
            <w:r>
              <w:rPr>
                <w:b/>
                <w:bCs/>
                <w:color w:val="FFFFFF"/>
                <w:sz w:val="20"/>
                <w:szCs w:val="20"/>
              </w:rPr>
              <w:t xml:space="preserve">Suggested Tools</w:t>
            </w:r>
          </w:p>
        </w:tc>
      </w:tr>
      <w:tr>
        <w:tc>
          <w:tcPr>
            <w:tcW w:type="dxa" w:w="2800"/>
            <w:shd w:fill="EDF2F4" w:color="auto" w:val="clear"/>
            <w:tcMar>
              <w:top w:type="dxa" w:w="80"/>
              <w:left w:type="dxa" w:w="100"/>
              <w:bottom w:type="dxa" w:w="80"/>
              <w:right w:type="dxa" w:w="100"/>
            </w:tcMar>
          </w:tcPr>
          <w:p>
            <w:r>
              <w:rPr>
                <w:b w:val="false"/>
                <w:bCs w:val="false"/>
                <w:color w:val="000000"/>
                <w:sz w:val="20"/>
                <w:szCs w:val="20"/>
              </w:rPr>
              <w:t xml:space="preserve">Data Ingestion</w:t>
            </w:r>
          </w:p>
        </w:tc>
        <w:tc>
          <w:tcPr>
            <w:tcW w:type="dxa" w:w="6550"/>
            <w:tcMar>
              <w:top w:type="dxa" w:w="80"/>
              <w:left w:type="dxa" w:w="100"/>
              <w:bottom w:type="dxa" w:w="80"/>
              <w:right w:type="dxa" w:w="100"/>
            </w:tcMar>
          </w:tcPr>
          <w:p>
            <w:r>
              <w:rPr>
                <w:b w:val="false"/>
                <w:bCs w:val="false"/>
                <w:color w:val="000000"/>
                <w:sz w:val="20"/>
                <w:szCs w:val="20"/>
              </w:rPr>
              <w:t xml:space="preserve">Python, FIRMS API, Overpass API, Sentinel Hub / Copernicus Open Access Hub</w:t>
            </w:r>
          </w:p>
        </w:tc>
      </w:tr>
      <w:tr>
        <w:tc>
          <w:tcPr>
            <w:tcW w:type="dxa" w:w="2800"/>
            <w:shd w:fill="EDF2F4" w:color="auto" w:val="clear"/>
            <w:tcMar>
              <w:top w:type="dxa" w:w="80"/>
              <w:left w:type="dxa" w:w="100"/>
              <w:bottom w:type="dxa" w:w="80"/>
              <w:right w:type="dxa" w:w="100"/>
            </w:tcMar>
          </w:tcPr>
          <w:p>
            <w:r>
              <w:rPr>
                <w:b w:val="false"/>
                <w:bCs w:val="false"/>
                <w:color w:val="000000"/>
                <w:sz w:val="20"/>
                <w:szCs w:val="20"/>
              </w:rPr>
              <w:t xml:space="preserve">Geospatial Storage</w:t>
            </w:r>
          </w:p>
        </w:tc>
        <w:tc>
          <w:tcPr>
            <w:tcW w:type="dxa" w:w="6550"/>
            <w:tcMar>
              <w:top w:type="dxa" w:w="80"/>
              <w:left w:type="dxa" w:w="100"/>
              <w:bottom w:type="dxa" w:w="80"/>
              <w:right w:type="dxa" w:w="100"/>
            </w:tcMar>
          </w:tcPr>
          <w:p>
            <w:r>
              <w:rPr>
                <w:b w:val="false"/>
                <w:bCs w:val="false"/>
                <w:color w:val="000000"/>
                <w:sz w:val="20"/>
                <w:szCs w:val="20"/>
              </w:rPr>
              <w:t xml:space="preserve">PostGIS, GeoPandas</w:t>
            </w:r>
          </w:p>
        </w:tc>
      </w:tr>
      <w:tr>
        <w:tc>
          <w:tcPr>
            <w:tcW w:type="dxa" w:w="2800"/>
            <w:shd w:fill="EDF2F4" w:color="auto" w:val="clear"/>
            <w:tcMar>
              <w:top w:type="dxa" w:w="80"/>
              <w:left w:type="dxa" w:w="100"/>
              <w:bottom w:type="dxa" w:w="80"/>
              <w:right w:type="dxa" w:w="100"/>
            </w:tcMar>
          </w:tcPr>
          <w:p>
            <w:r>
              <w:rPr>
                <w:b w:val="false"/>
                <w:bCs w:val="false"/>
                <w:color w:val="000000"/>
                <w:sz w:val="20"/>
                <w:szCs w:val="20"/>
              </w:rPr>
              <w:t xml:space="preserve">ML / Modeling</w:t>
            </w:r>
          </w:p>
        </w:tc>
        <w:tc>
          <w:tcPr>
            <w:tcW w:type="dxa" w:w="6550"/>
            <w:tcMar>
              <w:top w:type="dxa" w:w="80"/>
              <w:left w:type="dxa" w:w="100"/>
              <w:bottom w:type="dxa" w:w="80"/>
              <w:right w:type="dxa" w:w="100"/>
            </w:tcMar>
          </w:tcPr>
          <w:p>
            <w:r>
              <w:rPr>
                <w:b w:val="false"/>
                <w:bCs w:val="false"/>
                <w:color w:val="000000"/>
                <w:sz w:val="20"/>
                <w:szCs w:val="20"/>
              </w:rPr>
              <w:t xml:space="preserve">scikit-learn, XGBoost, SHAP for explainability</w:t>
            </w:r>
          </w:p>
        </w:tc>
      </w:tr>
      <w:tr>
        <w:tc>
          <w:tcPr>
            <w:tcW w:type="dxa" w:w="2800"/>
            <w:shd w:fill="EDF2F4" w:color="auto" w:val="clear"/>
            <w:tcMar>
              <w:top w:type="dxa" w:w="80"/>
              <w:left w:type="dxa" w:w="100"/>
              <w:bottom w:type="dxa" w:w="80"/>
              <w:right w:type="dxa" w:w="100"/>
            </w:tcMar>
          </w:tcPr>
          <w:p>
            <w:r>
              <w:rPr>
                <w:b w:val="false"/>
                <w:bCs w:val="false"/>
                <w:color w:val="000000"/>
                <w:sz w:val="20"/>
                <w:szCs w:val="20"/>
              </w:rPr>
              <w:t xml:space="preserve">Backend</w:t>
            </w:r>
          </w:p>
        </w:tc>
        <w:tc>
          <w:tcPr>
            <w:tcW w:type="dxa" w:w="6550"/>
            <w:tcMar>
              <w:top w:type="dxa" w:w="80"/>
              <w:left w:type="dxa" w:w="100"/>
              <w:bottom w:type="dxa" w:w="80"/>
              <w:right w:type="dxa" w:w="100"/>
            </w:tcMar>
          </w:tcPr>
          <w:p>
            <w:r>
              <w:rPr>
                <w:b w:val="false"/>
                <w:bCs w:val="false"/>
                <w:color w:val="000000"/>
                <w:sz w:val="20"/>
                <w:szCs w:val="20"/>
              </w:rPr>
              <w:t xml:space="preserve">FastAPI / Flask</w:t>
            </w:r>
          </w:p>
        </w:tc>
      </w:tr>
      <w:tr>
        <w:tc>
          <w:tcPr>
            <w:tcW w:type="dxa" w:w="2800"/>
            <w:shd w:fill="EDF2F4" w:color="auto" w:val="clear"/>
            <w:tcMar>
              <w:top w:type="dxa" w:w="80"/>
              <w:left w:type="dxa" w:w="100"/>
              <w:bottom w:type="dxa" w:w="80"/>
              <w:right w:type="dxa" w:w="100"/>
            </w:tcMar>
          </w:tcPr>
          <w:p>
            <w:r>
              <w:rPr>
                <w:b w:val="false"/>
                <w:bCs w:val="false"/>
                <w:color w:val="000000"/>
                <w:sz w:val="20"/>
                <w:szCs w:val="20"/>
              </w:rPr>
              <w:t xml:space="preserve">Frontend / Dashboard</w:t>
            </w:r>
          </w:p>
        </w:tc>
        <w:tc>
          <w:tcPr>
            <w:tcW w:type="dxa" w:w="6550"/>
            <w:tcMar>
              <w:top w:type="dxa" w:w="80"/>
              <w:left w:type="dxa" w:w="100"/>
              <w:bottom w:type="dxa" w:w="80"/>
              <w:right w:type="dxa" w:w="100"/>
            </w:tcMar>
          </w:tcPr>
          <w:p>
            <w:r>
              <w:rPr>
                <w:b w:val="false"/>
                <w:bCs w:val="false"/>
                <w:color w:val="000000"/>
                <w:sz w:val="20"/>
                <w:szCs w:val="20"/>
              </w:rPr>
              <w:t xml:space="preserve">React, Leaflet / Mapbox GL for map visualization</w:t>
            </w:r>
          </w:p>
        </w:tc>
      </w:tr>
      <w:tr>
        <w:tc>
          <w:tcPr>
            <w:tcW w:type="dxa" w:w="2800"/>
            <w:shd w:fill="EDF2F4" w:color="auto" w:val="clear"/>
            <w:tcMar>
              <w:top w:type="dxa" w:w="80"/>
              <w:left w:type="dxa" w:w="100"/>
              <w:bottom w:type="dxa" w:w="80"/>
              <w:right w:type="dxa" w:w="100"/>
            </w:tcMar>
          </w:tcPr>
          <w:p>
            <w:r>
              <w:rPr>
                <w:b w:val="false"/>
                <w:bCs w:val="false"/>
                <w:color w:val="000000"/>
                <w:sz w:val="20"/>
                <w:szCs w:val="20"/>
              </w:rPr>
              <w:t xml:space="preserve">Alerting</w:t>
            </w:r>
          </w:p>
        </w:tc>
        <w:tc>
          <w:tcPr>
            <w:tcW w:type="dxa" w:w="6550"/>
            <w:tcMar>
              <w:top w:type="dxa" w:w="80"/>
              <w:left w:type="dxa" w:w="100"/>
              <w:bottom w:type="dxa" w:w="80"/>
              <w:right w:type="dxa" w:w="100"/>
            </w:tcMar>
          </w:tcPr>
          <w:p>
            <w:r>
              <w:rPr>
                <w:b w:val="false"/>
                <w:bCs w:val="false"/>
                <w:color w:val="000000"/>
                <w:sz w:val="20"/>
                <w:szCs w:val="20"/>
              </w:rPr>
              <w:t xml:space="preserve">Twilio (SMS), SMTP (email), or webhook integration</w:t>
            </w:r>
          </w:p>
        </w:tc>
      </w:tr>
    </w:tbl>
    <w:p>
      <w:pPr>
        <w:spacing w:after="200"/>
      </w:pPr>
    </w:p>
    <w:p>
      <w:pPr>
        <w:pStyle w:val="Heading1"/>
        <w:spacing w:after="160" w:before="360"/>
      </w:pPr>
      <w:r>
        <w:t xml:space="preserve">9. Development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c>
          <w:tcPr>
            <w:tcW w:type="dxa" w:w="2000"/>
            <w:shd w:fill="C0392B" w:color="auto" w:val="clear"/>
            <w:tcMar>
              <w:top w:type="dxa" w:w="80"/>
              <w:left w:type="dxa" w:w="100"/>
              <w:bottom w:type="dxa" w:w="80"/>
              <w:right w:type="dxa" w:w="100"/>
            </w:tcMar>
          </w:tcPr>
          <w:p>
            <w:r>
              <w:rPr>
                <w:b/>
                <w:bCs/>
                <w:color w:val="FFFFFF"/>
                <w:sz w:val="20"/>
                <w:szCs w:val="20"/>
              </w:rPr>
              <w:t xml:space="preserve">Phase</w:t>
            </w:r>
          </w:p>
        </w:tc>
        <w:tc>
          <w:tcPr>
            <w:tcW w:type="dxa" w:w="7350"/>
            <w:shd w:fill="C0392B" w:color="auto" w:val="clear"/>
            <w:tcMar>
              <w:top w:type="dxa" w:w="80"/>
              <w:left w:type="dxa" w:w="100"/>
              <w:bottom w:type="dxa" w:w="80"/>
              <w:right w:type="dxa" w:w="100"/>
            </w:tcMar>
          </w:tcPr>
          <w:p>
            <w:r>
              <w:rPr>
                <w:b/>
                <w:bCs/>
                <w:color w:val="FFFFFF"/>
                <w:sz w:val="20"/>
                <w:szCs w:val="20"/>
              </w:rPr>
              <w:t xml:space="preserve">Key Activities</w:t>
            </w:r>
          </w:p>
        </w:tc>
      </w:tr>
      <w:tr>
        <w:tc>
          <w:tcPr>
            <w:tcW w:type="dxa" w:w="2000"/>
            <w:shd w:fill="EDF2F4" w:color="auto" w:val="clear"/>
            <w:tcMar>
              <w:top w:type="dxa" w:w="80"/>
              <w:left w:type="dxa" w:w="100"/>
              <w:bottom w:type="dxa" w:w="80"/>
              <w:right w:type="dxa" w:w="100"/>
            </w:tcMar>
          </w:tcPr>
          <w:p>
            <w:r>
              <w:rPr>
                <w:b w:val="false"/>
                <w:bCs w:val="false"/>
                <w:color w:val="000000"/>
                <w:sz w:val="20"/>
                <w:szCs w:val="20"/>
              </w:rPr>
              <w:t xml:space="preserve">Phase 1</w:t>
            </w:r>
          </w:p>
        </w:tc>
        <w:tc>
          <w:tcPr>
            <w:tcW w:type="dxa" w:w="7350"/>
            <w:tcMar>
              <w:top w:type="dxa" w:w="80"/>
              <w:left w:type="dxa" w:w="100"/>
              <w:bottom w:type="dxa" w:w="80"/>
              <w:right w:type="dxa" w:w="100"/>
            </w:tcMar>
          </w:tcPr>
          <w:p>
            <w:r>
              <w:rPr>
                <w:b w:val="false"/>
                <w:bCs w:val="false"/>
                <w:color w:val="000000"/>
                <w:sz w:val="20"/>
                <w:szCs w:val="20"/>
              </w:rPr>
              <w:t xml:space="preserve">Data pipeline setup: FIRMS + OSM ingestion, geospatial join, historical baseline computation</w:t>
            </w:r>
          </w:p>
        </w:tc>
      </w:tr>
      <w:tr>
        <w:tc>
          <w:tcPr>
            <w:tcW w:type="dxa" w:w="2000"/>
            <w:shd w:fill="EDF2F4" w:color="auto" w:val="clear"/>
            <w:tcMar>
              <w:top w:type="dxa" w:w="80"/>
              <w:left w:type="dxa" w:w="100"/>
              <w:bottom w:type="dxa" w:w="80"/>
              <w:right w:type="dxa" w:w="100"/>
            </w:tcMar>
          </w:tcPr>
          <w:p>
            <w:r>
              <w:rPr>
                <w:b w:val="false"/>
                <w:bCs w:val="false"/>
                <w:color w:val="000000"/>
                <w:sz w:val="20"/>
                <w:szCs w:val="20"/>
              </w:rPr>
              <w:t xml:space="preserve">Phase 2</w:t>
            </w:r>
          </w:p>
        </w:tc>
        <w:tc>
          <w:tcPr>
            <w:tcW w:type="dxa" w:w="7350"/>
            <w:tcMar>
              <w:top w:type="dxa" w:w="80"/>
              <w:left w:type="dxa" w:w="100"/>
              <w:bottom w:type="dxa" w:w="80"/>
              <w:right w:type="dxa" w:w="100"/>
            </w:tcMar>
          </w:tcPr>
          <w:p>
            <w:r>
              <w:rPr>
                <w:b w:val="false"/>
                <w:bCs w:val="false"/>
                <w:color w:val="000000"/>
                <w:sz w:val="20"/>
                <w:szCs w:val="20"/>
              </w:rPr>
              <w:t xml:space="preserve">Feature engineering + anomaly detection layer; initial rule-based classification</w:t>
            </w:r>
          </w:p>
        </w:tc>
      </w:tr>
      <w:tr>
        <w:tc>
          <w:tcPr>
            <w:tcW w:type="dxa" w:w="2000"/>
            <w:shd w:fill="EDF2F4" w:color="auto" w:val="clear"/>
            <w:tcMar>
              <w:top w:type="dxa" w:w="80"/>
              <w:left w:type="dxa" w:w="100"/>
              <w:bottom w:type="dxa" w:w="80"/>
              <w:right w:type="dxa" w:w="100"/>
            </w:tcMar>
          </w:tcPr>
          <w:p>
            <w:r>
              <w:rPr>
                <w:b w:val="false"/>
                <w:bCs w:val="false"/>
                <w:color w:val="000000"/>
                <w:sz w:val="20"/>
                <w:szCs w:val="20"/>
              </w:rPr>
              <w:t xml:space="preserve">Phase 3</w:t>
            </w:r>
          </w:p>
        </w:tc>
        <w:tc>
          <w:tcPr>
            <w:tcW w:type="dxa" w:w="7350"/>
            <w:tcMar>
              <w:top w:type="dxa" w:w="80"/>
              <w:left w:type="dxa" w:w="100"/>
              <w:bottom w:type="dxa" w:w="80"/>
              <w:right w:type="dxa" w:w="100"/>
            </w:tcMar>
          </w:tcPr>
          <w:p>
            <w:r>
              <w:rPr>
                <w:b w:val="false"/>
                <w:bCs w:val="false"/>
                <w:color w:val="000000"/>
                <w:sz w:val="20"/>
                <w:szCs w:val="20"/>
              </w:rPr>
              <w:t xml:space="preserve">Supervised classifier training, explainability integration, validation against known incidents</w:t>
            </w:r>
          </w:p>
        </w:tc>
      </w:tr>
      <w:tr>
        <w:tc>
          <w:tcPr>
            <w:tcW w:type="dxa" w:w="2000"/>
            <w:shd w:fill="EDF2F4" w:color="auto" w:val="clear"/>
            <w:tcMar>
              <w:top w:type="dxa" w:w="80"/>
              <w:left w:type="dxa" w:w="100"/>
              <w:bottom w:type="dxa" w:w="80"/>
              <w:right w:type="dxa" w:w="100"/>
            </w:tcMar>
          </w:tcPr>
          <w:p>
            <w:r>
              <w:rPr>
                <w:b w:val="false"/>
                <w:bCs w:val="false"/>
                <w:color w:val="000000"/>
                <w:sz w:val="20"/>
                <w:szCs w:val="20"/>
              </w:rPr>
              <w:t xml:space="preserve">Phase 4</w:t>
            </w:r>
          </w:p>
        </w:tc>
        <w:tc>
          <w:tcPr>
            <w:tcW w:type="dxa" w:w="7350"/>
            <w:tcMar>
              <w:top w:type="dxa" w:w="80"/>
              <w:left w:type="dxa" w:w="100"/>
              <w:bottom w:type="dxa" w:w="80"/>
              <w:right w:type="dxa" w:w="100"/>
            </w:tcMar>
          </w:tcPr>
          <w:p>
            <w:r>
              <w:rPr>
                <w:b w:val="false"/>
                <w:bCs w:val="false"/>
                <w:color w:val="000000"/>
                <w:sz w:val="20"/>
                <w:szCs w:val="20"/>
              </w:rPr>
              <w:t xml:space="preserve">Dashboard + alerting system build-out; end-to-end integration testing</w:t>
            </w:r>
          </w:p>
        </w:tc>
      </w:tr>
      <w:tr>
        <w:tc>
          <w:tcPr>
            <w:tcW w:type="dxa" w:w="2000"/>
            <w:shd w:fill="EDF2F4" w:color="auto" w:val="clear"/>
            <w:tcMar>
              <w:top w:type="dxa" w:w="80"/>
              <w:left w:type="dxa" w:w="100"/>
              <w:bottom w:type="dxa" w:w="80"/>
              <w:right w:type="dxa" w:w="100"/>
            </w:tcMar>
          </w:tcPr>
          <w:p>
            <w:r>
              <w:rPr>
                <w:b w:val="false"/>
                <w:bCs w:val="false"/>
                <w:color w:val="000000"/>
                <w:sz w:val="20"/>
                <w:szCs w:val="20"/>
              </w:rPr>
              <w:t xml:space="preserve">Phase 5</w:t>
            </w:r>
          </w:p>
        </w:tc>
        <w:tc>
          <w:tcPr>
            <w:tcW w:type="dxa" w:w="7350"/>
            <w:tcMar>
              <w:top w:type="dxa" w:w="80"/>
              <w:left w:type="dxa" w:w="100"/>
              <w:bottom w:type="dxa" w:w="80"/>
              <w:right w:type="dxa" w:w="100"/>
            </w:tcMar>
          </w:tcPr>
          <w:p>
            <w:r>
              <w:rPr>
                <w:b w:val="false"/>
                <w:bCs w:val="false"/>
                <w:color w:val="000000"/>
                <w:sz w:val="20"/>
                <w:szCs w:val="20"/>
              </w:rPr>
              <w:t xml:space="preserve">Polish, case-study validation, demo preparation and presentation</w:t>
            </w:r>
          </w:p>
        </w:tc>
      </w:tr>
    </w:tbl>
    <w:p>
      <w:pPr>
        <w:spacing w:after="200"/>
      </w:pPr>
    </w:p>
    <w:p>
      <w:pPr>
        <w:pStyle w:val="Heading1"/>
        <w:spacing w:after="160" w:before="360"/>
      </w:pPr>
      <w:r>
        <w:t xml:space="preserve">10. Expected Impact &amp; Feasibility</w:t>
      </w:r>
    </w:p>
    <w:p>
      <w:pPr>
        <w:pStyle w:val="Heading2"/>
        <w:spacing w:after="120" w:before="240"/>
      </w:pPr>
      <w:r>
        <w:t xml:space="preserve">10.1 Impact</w:t>
      </w:r>
    </w:p>
    <w:p>
      <w:pPr>
        <w:pStyle w:val="ListParagraph"/>
        <w:numPr>
          <w:ilvl w:val="0"/>
          <w:numId w:val="2"/>
        </w:numPr>
        <w:spacing w:after="90"/>
      </w:pPr>
      <w:r>
        <w:rPr>
          <w:b w:val="false"/>
          <w:bCs w:val="false"/>
          <w:sz w:val="22"/>
          <w:szCs w:val="22"/>
        </w:rPr>
        <w:t xml:space="preserve">Faster, more reliable detection of genuine industrial fire emergencies, reducing response time.</w:t>
      </w:r>
    </w:p>
    <w:p>
      <w:pPr>
        <w:pStyle w:val="ListParagraph"/>
        <w:numPr>
          <w:ilvl w:val="0"/>
          <w:numId w:val="2"/>
        </w:numPr>
        <w:spacing w:after="90"/>
      </w:pPr>
      <w:r>
        <w:rPr>
          <w:b w:val="false"/>
          <w:bCs w:val="false"/>
          <w:sz w:val="22"/>
          <w:szCs w:val="22"/>
        </w:rPr>
        <w:t xml:space="preserve">Reduced false-alarm burden on disaster management and pollution control authorities.</w:t>
      </w:r>
    </w:p>
    <w:p>
      <w:pPr>
        <w:pStyle w:val="ListParagraph"/>
        <w:numPr>
          <w:ilvl w:val="0"/>
          <w:numId w:val="2"/>
        </w:numPr>
        <w:spacing w:after="90"/>
      </w:pPr>
      <w:r>
        <w:rPr>
          <w:b w:val="false"/>
          <w:bCs w:val="false"/>
          <w:sz w:val="22"/>
          <w:szCs w:val="22"/>
        </w:rPr>
        <w:t xml:space="preserve">A reusable emissions/flaring monitoring tool with environmental compliance value.</w:t>
      </w:r>
    </w:p>
    <w:p>
      <w:pPr>
        <w:pStyle w:val="ListParagraph"/>
        <w:numPr>
          <w:ilvl w:val="0"/>
          <w:numId w:val="2"/>
        </w:numPr>
        <w:spacing w:after="90"/>
      </w:pPr>
      <w:r>
        <w:rPr>
          <w:b w:val="false"/>
          <w:bCs w:val="false"/>
          <w:sz w:val="22"/>
          <w:szCs w:val="22"/>
        </w:rPr>
        <w:t xml:space="preserve">Fully built on free, open, publicly available datasets — no licensing cost, nationally scalable.</w:t>
      </w:r>
    </w:p>
    <w:p>
      <w:pPr>
        <w:pStyle w:val="Heading2"/>
        <w:spacing w:after="120" w:before="240"/>
      </w:pPr>
      <w:r>
        <w:t xml:space="preserve">10.2 Feasibility</w:t>
      </w:r>
    </w:p>
    <w:p>
      <w:pPr>
        <w:pStyle w:val="ListParagraph"/>
        <w:numPr>
          <w:ilvl w:val="0"/>
          <w:numId w:val="2"/>
        </w:numPr>
        <w:spacing w:after="90"/>
      </w:pPr>
      <w:r>
        <w:rPr>
          <w:b w:val="false"/>
          <w:bCs w:val="false"/>
          <w:sz w:val="22"/>
          <w:szCs w:val="22"/>
        </w:rPr>
        <w:t xml:space="preserve">All core data sources (FIRMS, OSM, Sentinel) are freely accessible via public APIs.</w:t>
      </w:r>
    </w:p>
    <w:p>
      <w:pPr>
        <w:pStyle w:val="ListParagraph"/>
        <w:numPr>
          <w:ilvl w:val="0"/>
          <w:numId w:val="2"/>
        </w:numPr>
        <w:spacing w:after="90"/>
      </w:pPr>
      <w:r>
        <w:rPr>
          <w:b w:val="false"/>
          <w:bCs w:val="false"/>
          <w:sz w:val="22"/>
          <w:szCs w:val="22"/>
        </w:rPr>
        <w:t xml:space="preserve">The classification approach can start rule-based/statistical (fast to build, explainable) and progressively add ML sophistication.</w:t>
      </w:r>
    </w:p>
    <w:p>
      <w:pPr>
        <w:pStyle w:val="ListParagraph"/>
        <w:numPr>
          <w:ilvl w:val="0"/>
          <w:numId w:val="2"/>
        </w:numPr>
        <w:spacing w:after="90"/>
      </w:pPr>
      <w:r>
        <w:rPr>
          <w:b w:val="false"/>
          <w:bCs w:val="false"/>
          <w:sz w:val="22"/>
          <w:szCs w:val="22"/>
        </w:rPr>
        <w:t xml:space="preserve">Regional pilot (single industrial belt) is achievable within a hackathon timeframe, with a clear path to national scale-up.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00"/>
      </w:pPr>
    </w:lvl>
  </w:abstractNum>
  <w:abstractNum w:abstractNumId="4" w15:restartNumberingAfterBreak="0">
    <w:multiLevelType w:val="hybridMultilevel"/>
    <w:lvl w:ilvl="0" w15:tentative="1">
      <w:start w:val="1"/>
      <w:numFmt w:val="decimal"/>
      <w:lvlText w:val="%1."/>
      <w:lvlJc w:val="left"/>
      <w:pPr>
        <w:ind w:left="450" w:hanging="300"/>
      </w:pPr>
    </w:lvl>
  </w:abstractNum>
  <w:abstractNum w:abstractNumId="5"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160" w:before="360"/>
    </w:pPr>
    <w:rPr>
      <w:rFonts w:ascii="Calibri" w:cs="Calibri" w:eastAsia="Calibri" w:hAnsi="Calibri"/>
      <w:b/>
      <w:bCs/>
      <w:color w:val="1F4E5C"/>
      <w:sz w:val="32"/>
      <w:szCs w:val="32"/>
    </w:rPr>
  </w:style>
  <w:style w:type="paragraph" w:styleId="Heading2">
    <w:name w:val="Heading 2"/>
    <w:basedOn w:val="Normal"/>
    <w:next w:val="Normal"/>
    <w:qFormat/>
    <w:pPr>
      <w:spacing w:after="120" w:before="240"/>
    </w:pPr>
    <w:rPr>
      <w:rFonts w:ascii="Calibri" w:cs="Calibri" w:eastAsia="Calibri" w:hAnsi="Calibri"/>
      <w:b/>
      <w:bCs/>
      <w:color w:val="C0392B"/>
      <w:sz w:val="26"/>
      <w:szCs w:val="26"/>
    </w:rPr>
  </w:style>
  <w:style w:type="paragraph" w:styleId="Heading3">
    <w:name w:val="Heading 3"/>
    <w:basedOn w:val="Normal"/>
    <w:next w:val="Normal"/>
    <w:qFormat/>
    <w:pPr>
      <w:spacing w:after="100" w:before="180"/>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2026-08-25T09:34:28.766Z</dcterms:created>
  <dcterms:modified xsi:type="dcterms:W3CDTF">2026-08-25T09:34:28.766Z</dcterms:modified>
</cp:coreProperties>
</file>

<file path=docProps/custom.xml><?xml version="1.0" encoding="utf-8"?>
<Properties xmlns="http://schemas.openxmlformats.org/officeDocument/2006/custom-properties" xmlns:vt="http://schemas.openxmlformats.org/officeDocument/2006/docPropsVTypes"/>
</file>