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0D6E6E"/>
          <w:sz w:val="80"/>
          <w:szCs w:val="80"/>
        </w:rPr>
        <w:t xml:space="preserve">FPdoc</w:t>
      </w:r>
    </w:p>
    <w:p>
      <w:pPr>
        <w:spacing w:after="80" w:before="80"/>
        <w:jc w:val="center"/>
      </w:pPr>
      <w:r>
        <w:rPr>
          <w:rFonts w:ascii="Arial" w:cs="Arial" w:eastAsia="Arial" w:hAnsi="Arial"/>
          <w:i/>
          <w:iCs/>
          <w:color w:val="4A4A5E"/>
          <w:sz w:val="28"/>
          <w:szCs w:val="28"/>
        </w:rPr>
        <w:t xml:space="preserve">Sistema de Gestión Curricular Colaborativo para la Formación Profesional</w:t>
      </w:r>
    </w:p>
    <w:p>
      <w:pPr>
        <w:spacing w:after="0" w:before="120"/>
      </w:pPr>
      <w:r>
        <w:t xml:space="preserve"/>
      </w:r>
    </w:p>
    <w:p>
      <w:pPr>
        <w:jc w:val="center"/>
      </w:pPr>
      <w:r>
        <w:rPr>
          <w:rFonts w:ascii="Arial" w:cs="Arial" w:eastAsia="Arial" w:hAnsi="Arial"/>
          <w:color w:val="9494A8"/>
          <w:sz w:val="22"/>
          <w:szCs w:val="22"/>
        </w:rPr>
        <w:t xml:space="preserve">Documento de Arquitectura · v1.0</w:t>
      </w:r>
    </w:p>
    <w:p>
      <w:pPr>
        <w:spacing w:before="40"/>
        <w:jc w:val="center"/>
      </w:pPr>
      <w:r>
        <w:rPr>
          <w:rFonts w:ascii="Arial" w:cs="Arial" w:eastAsia="Arial" w:hAnsi="Arial"/>
          <w:color w:val="9494A8"/>
          <w:sz w:val="22"/>
          <w:szCs w:val="22"/>
        </w:rPr>
        <w:t xml:space="preserve">Consejería de Educación — Gobierno de Canarias · Curso 2026-2027</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CC" w:sz="1"/>
              <w:left w:val="single" w:color="DDDBCC" w:sz="1"/>
              <w:bottom w:val="single" w:color="DDDBCC" w:sz="1"/>
              <w:right w:val="single" w:color="DDDBCC" w:sz="1"/>
            </w:tcBorders>
            <w:shd w:fill="E0F0F0" w:val="clear"/>
            <w:tcMar>
              <w:top w:type="dxa" w:w="160"/>
              <w:left w:type="dxa" w:w="200"/>
              <w:bottom w:type="dxa" w:w="160"/>
              <w:right w:type="dxa" w:w="200"/>
            </w:tcMar>
          </w:tcPr>
          <w:p>
            <w:pPr>
              <w:spacing w:after="40" w:before="40"/>
            </w:pPr>
            <w:r>
              <w:rPr>
                <w:rFonts w:ascii="Arial" w:cs="Arial" w:eastAsia="Arial" w:hAnsi="Arial"/>
                <w:color w:val="0D6E6E"/>
                <w:sz w:val="22"/>
                <w:szCs w:val="22"/>
              </w:rPr>
              <w:t xml:space="preserve">Ciclo piloto: 2.º CFGS Diseño y Amueblamiento (LOMLOE-LOOIFP)</w:t>
            </w:r>
          </w:p>
          <w:p>
            <w:pPr>
              <w:spacing w:after="40" w:before="40"/>
            </w:pPr>
            <w:r>
              <w:rPr>
                <w:rFonts w:ascii="Arial" w:cs="Arial" w:eastAsia="Arial" w:hAnsi="Arial"/>
                <w:color w:val="0D6E6E"/>
                <w:sz w:val="22"/>
                <w:szCs w:val="22"/>
              </w:rPr>
              <w:t xml:space="preserve">Centro de referencia: IES Fernando Sagaseta · Telde, Gran Canaria</w:t>
            </w:r>
          </w:p>
          <w:p>
            <w:pPr>
              <w:spacing w:after="40" w:before="40"/>
            </w:pPr>
            <w:r>
              <w:rPr>
                <w:rFonts w:ascii="Arial" w:cs="Arial" w:eastAsia="Arial" w:hAnsi="Arial"/>
                <w:color w:val="0D6E6E"/>
                <w:sz w:val="22"/>
                <w:szCs w:val="22"/>
              </w:rPr>
              <w:t xml:space="preserve">Familia profesional: Madera, Mueble y Corcho</w:t>
            </w:r>
          </w:p>
        </w:tc>
      </w:tr>
    </w:tbl>
    <w:p>
      <w:pPr>
        <w:spacing w:after="0" w:before="200"/>
      </w:pPr>
      <w:r>
        <w:t xml:space="preserve"/>
      </w:r>
    </w:p>
    <w:p>
      <w:r>
        <w:br w:type="page"/>
      </w:r>
    </w:p>
    <w:p>
      <w:pPr>
        <w:pStyle w:val="Heading1"/>
        <w:spacing w:after="160" w:before="400"/>
      </w:pPr>
      <w:r>
        <w:rPr>
          <w:rFonts w:ascii="Arial" w:cs="Arial" w:eastAsia="Arial" w:hAnsi="Arial"/>
          <w:b/>
          <w:bCs/>
          <w:color w:val="1A1A24"/>
          <w:sz w:val="32"/>
          <w:szCs w:val="32"/>
        </w:rPr>
        <w:t xml:space="preserve">1. Introducción y visión del proyecto</w:t>
      </w:r>
    </w:p>
    <w:p>
      <w:pPr>
        <w:spacing w:after="80" w:before="60"/>
      </w:pPr>
      <w:r>
        <w:rPr>
          <w:rFonts w:ascii="Arial" w:cs="Arial" w:eastAsia="Arial" w:hAnsi="Arial"/>
          <w:b w:val="false"/>
          <w:bCs w:val="false"/>
          <w:i w:val="false"/>
          <w:iCs w:val="false"/>
          <w:color w:val="4A4A5E"/>
          <w:sz w:val="22"/>
          <w:szCs w:val="22"/>
        </w:rPr>
        <w:t xml:space="preserve">FPdoc es un sistema de gestión curricular colaborativo diseñado específicamente para los departamentos de Formación Profesional en España. Su objetivo es convertir la Programación Didáctica — un documento que hoy se elabora de forma fragmentada, manual y sin coordinación real entre los miembros del equipo docente — en un proceso estructurado, trazable y colaborativo.</w:t>
      </w:r>
    </w:p>
    <w:p>
      <w:pPr>
        <w:spacing w:after="0" w:before="80"/>
      </w:pPr>
      <w:r>
        <w:t xml:space="preserve"/>
      </w:r>
    </w:p>
    <w:p>
      <w:pPr>
        <w:spacing w:after="80" w:before="60"/>
      </w:pPr>
      <w:r>
        <w:rPr>
          <w:rFonts w:ascii="Arial" w:cs="Arial" w:eastAsia="Arial" w:hAnsi="Arial"/>
          <w:b w:val="false"/>
          <w:bCs w:val="false"/>
          <w:i w:val="false"/>
          <w:iCs w:val="false"/>
          <w:color w:val="4A4A5E"/>
          <w:sz w:val="22"/>
          <w:szCs w:val="22"/>
        </w:rPr>
        <w:t xml:space="preserve">El sistema integra a los tres agentes del equipo educativo (jefe de departamento, profesorado y alumnado) en torno a un documento vivo que refleja el estado real del ciclo formativo a lo largo del curso, no solo al inicio.</w:t>
      </w:r>
    </w:p>
    <w:p>
      <w:pPr>
        <w:spacing w:after="0" w:before="80"/>
      </w:pPr>
      <w:r>
        <w:t xml:space="preserve"/>
      </w:r>
    </w:p>
    <w:p>
      <w:pPr>
        <w:pStyle w:val="Heading2"/>
        <w:spacing w:after="120" w:before="280"/>
      </w:pPr>
      <w:r>
        <w:rPr>
          <w:rFonts w:ascii="Arial" w:cs="Arial" w:eastAsia="Arial" w:hAnsi="Arial"/>
          <w:b/>
          <w:bCs/>
          <w:color w:val="0D6E6E"/>
          <w:sz w:val="26"/>
          <w:szCs w:val="26"/>
        </w:rPr>
        <w:t xml:space="preserve">1.1 Problema que resuelve</w:t>
      </w:r>
    </w:p>
    <w:p>
      <w:pPr>
        <w:spacing w:after="80" w:before="60"/>
      </w:pPr>
      <w:r>
        <w:rPr>
          <w:rFonts w:ascii="Arial" w:cs="Arial" w:eastAsia="Arial" w:hAnsi="Arial"/>
          <w:b w:val="false"/>
          <w:bCs w:val="false"/>
          <w:i w:val="false"/>
          <w:iCs w:val="false"/>
          <w:color w:val="4A4A5E"/>
          <w:sz w:val="22"/>
          <w:szCs w:val="22"/>
        </w:rPr>
        <w:t xml:space="preserve">En la mayoría de departamentos de FP, la programación didáctica se elabora de forma aislada por cada docente, se entrega en papel o PDF al inicio de curso, y no vuelve a consultarse. El jefe de departamento no tiene visibilidad del estado de las programaciones de los otros módulos, la cobertura de los elementos transversales no se verifica de forma sistemática, y cualquier cambio durante el curso queda sin registrar.</w:t>
      </w:r>
    </w:p>
    <w:p>
      <w:pPr>
        <w:spacing w:after="0" w:before="80"/>
      </w:pPr>
      <w:r>
        <w:t xml:space="preserve"/>
      </w:r>
    </w:p>
    <w:p>
      <w:pPr>
        <w:spacing w:after="80" w:before="60"/>
      </w:pPr>
      <w:r>
        <w:rPr>
          <w:rFonts w:ascii="Arial" w:cs="Arial" w:eastAsia="Arial" w:hAnsi="Arial"/>
          <w:b w:val="false"/>
          <w:bCs w:val="false"/>
          <w:i w:val="false"/>
          <w:iCs w:val="false"/>
          <w:color w:val="4A4A5E"/>
          <w:sz w:val="22"/>
          <w:szCs w:val="22"/>
        </w:rPr>
        <w:t xml:space="preserve">FPdoc resuelve este problema estructural mediante tres módulos funcionales coordinados: gestión curricular (por módulo y docente), transversalidad (visión del ciclo completo) y coordinación de departamento (panel del jefe con publicación y trazabilidad).</w:t>
      </w:r>
    </w:p>
    <w:p>
      <w:pPr>
        <w:spacing w:after="0" w:before="80"/>
      </w:pPr>
      <w:r>
        <w:t xml:space="preserve"/>
      </w:r>
    </w:p>
    <w:p>
      <w:pPr>
        <w:pStyle w:val="Heading2"/>
        <w:spacing w:after="120" w:before="280"/>
      </w:pPr>
      <w:r>
        <w:rPr>
          <w:rFonts w:ascii="Arial" w:cs="Arial" w:eastAsia="Arial" w:hAnsi="Arial"/>
          <w:b/>
          <w:bCs/>
          <w:color w:val="0D6E6E"/>
          <w:sz w:val="26"/>
          <w:szCs w:val="26"/>
        </w:rPr>
        <w:t xml:space="preserve">1.2 Alcance y contexto normativo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Marco normativo</w:t>
            </w:r>
          </w:p>
        </w:tc>
        <w:tc>
          <w:tcPr>
            <w:tcW w:type="dxa" w:w="636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Referencia</w:t>
            </w:r>
          </w:p>
        </w:tc>
      </w:tr>
      <w:tr>
        <w:tc>
          <w:tcPr>
            <w:tcW w:type="dxa" w:w="30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Normativa estatal del título</w:t>
            </w:r>
          </w:p>
        </w:tc>
        <w:tc>
          <w:tcPr>
            <w:tcW w:type="dxa" w:w="63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RD 1579/2011 y Orden ECD/317/2012</w:t>
            </w:r>
          </w:p>
        </w:tc>
      </w:tr>
      <w:tr>
        <w:tc>
          <w:tcPr>
            <w:tcW w:type="dxa" w:w="30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Marco curricular vigente</w:t>
            </w:r>
          </w:p>
        </w:tc>
        <w:tc>
          <w:tcPr>
            <w:tcW w:type="dxa" w:w="63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LOMLOE / LOOIFP</w:t>
            </w:r>
          </w:p>
        </w:tc>
      </w:tr>
      <w:tr>
        <w:tc>
          <w:tcPr>
            <w:tcW w:type="dxa" w:w="30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Orden autonómica canaria</w:t>
            </w:r>
          </w:p>
        </w:tc>
        <w:tc>
          <w:tcPr>
            <w:tcW w:type="dxa" w:w="63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Currículo CFGS Diseño y Amueblamiento (LOMLOE-LOOIFP)</w:t>
            </w:r>
          </w:p>
        </w:tc>
      </w:tr>
      <w:tr>
        <w:tc>
          <w:tcPr>
            <w:tcW w:type="dxa" w:w="30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Módulos del ciclo piloto</w:t>
            </w:r>
          </w:p>
        </w:tc>
        <w:tc>
          <w:tcPr>
            <w:tcW w:type="dxa" w:w="63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ATZ, GNE, IYO, DDR, DJK + FCT</w:t>
            </w:r>
          </w:p>
        </w:tc>
      </w:tr>
      <w:tr>
        <w:tc>
          <w:tcPr>
            <w:tcW w:type="dxa" w:w="30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Módulos transversales</w:t>
            </w:r>
          </w:p>
        </w:tc>
        <w:tc>
          <w:tcPr>
            <w:tcW w:type="dxa" w:w="63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DJK (Digitalización), IKL (Inglés profesional), ITK (Itinerario para la empleabilidad)</w:t>
            </w:r>
          </w:p>
        </w:tc>
      </w:tr>
    </w:tbl>
    <w:p>
      <w:r>
        <w:br w:type="page"/>
      </w:r>
    </w:p>
    <w:p>
      <w:pPr>
        <w:pStyle w:val="Heading1"/>
        <w:spacing w:after="160" w:before="400"/>
      </w:pPr>
      <w:r>
        <w:rPr>
          <w:rFonts w:ascii="Arial" w:cs="Arial" w:eastAsia="Arial" w:hAnsi="Arial"/>
          <w:b/>
          <w:bCs/>
          <w:color w:val="1A1A24"/>
          <w:sz w:val="32"/>
          <w:szCs w:val="32"/>
        </w:rPr>
        <w:t xml:space="preserve">2. Roles y flujo de alta</w:t>
      </w:r>
    </w:p>
    <w:p>
      <w:pPr>
        <w:spacing w:after="80" w:before="60"/>
      </w:pPr>
      <w:r>
        <w:rPr>
          <w:rFonts w:ascii="Arial" w:cs="Arial" w:eastAsia="Arial" w:hAnsi="Arial"/>
          <w:b w:val="false"/>
          <w:bCs w:val="false"/>
          <w:i w:val="false"/>
          <w:iCs w:val="false"/>
          <w:color w:val="4A4A5E"/>
          <w:sz w:val="22"/>
          <w:szCs w:val="22"/>
        </w:rPr>
        <w:t xml:space="preserve">El sistema se organiza en torno a tres roles con permisos diferenciados. El flujo de alta está secuenciado: el jefe activa el curso antes de que el profesorado y el alumnado puedan completar su registro.</w:t>
      </w:r>
    </w:p>
    <w:p>
      <w:pPr>
        <w:spacing w:after="0" w:before="80"/>
      </w:pPr>
      <w:r>
        <w:t xml:space="preserve"/>
      </w:r>
    </w:p>
    <w:p>
      <w:pPr>
        <w:pStyle w:val="Heading2"/>
        <w:spacing w:after="120" w:before="280"/>
      </w:pPr>
      <w:r>
        <w:rPr>
          <w:rFonts w:ascii="Arial" w:cs="Arial" w:eastAsia="Arial" w:hAnsi="Arial"/>
          <w:b/>
          <w:bCs/>
          <w:color w:val="0D6E6E"/>
          <w:sz w:val="26"/>
          <w:szCs w:val="26"/>
        </w:rPr>
        <w:t xml:space="preserve">2.1 Jefe de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CC" w:sz="1"/>
              <w:left w:val="single" w:color="DDDBCC" w:sz="1"/>
              <w:bottom w:val="single" w:color="DDDBCC" w:sz="1"/>
              <w:right w:val="single" w:color="DDDBCC" w:sz="1"/>
            </w:tcBorders>
            <w:shd w:fill="FEF3E2" w:val="clear"/>
            <w:tcMar>
              <w:top w:type="dxa" w:w="160"/>
              <w:left w:type="dxa" w:w="200"/>
              <w:bottom w:type="dxa" w:w="160"/>
              <w:right w:type="dxa" w:w="200"/>
            </w:tcMar>
          </w:tcPr>
          <w:p>
            <w:pPr>
              <w:spacing w:after="40" w:before="40"/>
            </w:pPr>
            <w:r>
              <w:rPr>
                <w:rFonts w:ascii="Arial" w:cs="Arial" w:eastAsia="Arial" w:hAnsi="Arial"/>
                <w:color w:val="C47C1A"/>
                <w:sz w:val="22"/>
                <w:szCs w:val="22"/>
              </w:rPr>
              <w:t xml:space="preserve">Rol supervisor y validador. Visión global del ciclo. Único con permiso de publicación.</w:t>
            </w:r>
          </w:p>
        </w:tc>
      </w:tr>
    </w:tbl>
    <w:p>
      <w:pPr>
        <w:spacing w:after="0" w:before="80"/>
      </w:pPr>
      <w:r>
        <w:t xml:space="preserve"/>
      </w:r>
    </w:p>
    <w:p>
      <w:pPr>
        <w:spacing w:after="80" w:before="60"/>
      </w:pPr>
      <w:r>
        <w:rPr>
          <w:rFonts w:ascii="Arial" w:cs="Arial" w:eastAsia="Arial" w:hAnsi="Arial"/>
          <w:b w:val="false"/>
          <w:bCs w:val="false"/>
          <w:i w:val="false"/>
          <w:iCs w:val="false"/>
          <w:color w:val="4A4A5E"/>
          <w:sz w:val="22"/>
          <w:szCs w:val="22"/>
        </w:rPr>
        <w:t xml:space="preserve">El jefe completa 7 pasos en el alta: registro institucional, configuración del departamento y familia profesional, definición de grupos del curso, calendario académico completo, vinculación de normativa aplicable, asignación de módulos a docentes y activación del curso.</w:t>
      </w:r>
    </w:p>
    <w:p>
      <w:pPr>
        <w:spacing w:after="0" w:before="60"/>
      </w:pPr>
      <w:r>
        <w:t xml:space="preserve"/>
      </w:r>
    </w:p>
    <w:p>
      <w:pPr>
        <w:spacing w:after="80" w:before="60"/>
      </w:pPr>
      <w:r>
        <w:rPr>
          <w:rFonts w:ascii="Arial" w:cs="Arial" w:eastAsia="Arial" w:hAnsi="Arial"/>
          <w:b/>
          <w:bCs/>
          <w:i w:val="false"/>
          <w:iCs w:val="false"/>
          <w:color w:val="4A4A5E"/>
          <w:sz w:val="22"/>
          <w:szCs w:val="22"/>
        </w:rPr>
        <w:t xml:space="preserve">Funcionalidades exclusivas del jefe:</w:t>
      </w:r>
    </w:p>
    <w:p>
      <w:pPr>
        <w:pStyle w:val="ListParagraph"/>
        <w:numPr>
          <w:ilvl w:val="0"/>
          <w:numId w:val="2"/>
        </w:numPr>
        <w:spacing w:after="40" w:before="40"/>
      </w:pPr>
      <w:r>
        <w:rPr>
          <w:rFonts w:ascii="Arial" w:cs="Arial" w:eastAsia="Arial" w:hAnsi="Arial"/>
          <w:color w:val="4A4A5E"/>
          <w:sz w:val="22"/>
          <w:szCs w:val="22"/>
        </w:rPr>
        <w:t xml:space="preserve">Panel de estado en tiempo real de todas las programaciones del ciclo</w:t>
      </w:r>
    </w:p>
    <w:p>
      <w:pPr>
        <w:pStyle w:val="ListParagraph"/>
        <w:numPr>
          <w:ilvl w:val="0"/>
          <w:numId w:val="2"/>
        </w:numPr>
        <w:spacing w:after="40" w:before="40"/>
      </w:pPr>
      <w:r>
        <w:rPr>
          <w:rFonts w:ascii="Arial" w:cs="Arial" w:eastAsia="Arial" w:hAnsi="Arial"/>
          <w:color w:val="4A4A5E"/>
          <w:sz w:val="22"/>
          <w:szCs w:val="22"/>
        </w:rPr>
        <w:t xml:space="preserve">Revisión, aprobación y devolución con comentarios de cada PROG_MODULO</w:t>
      </w:r>
    </w:p>
    <w:p>
      <w:pPr>
        <w:pStyle w:val="ListParagraph"/>
        <w:numPr>
          <w:ilvl w:val="0"/>
          <w:numId w:val="2"/>
        </w:numPr>
        <w:spacing w:after="40" w:before="40"/>
      </w:pPr>
      <w:r>
        <w:rPr>
          <w:rFonts w:ascii="Arial" w:cs="Arial" w:eastAsia="Arial" w:hAnsi="Arial"/>
          <w:color w:val="4A4A5E"/>
          <w:sz w:val="22"/>
          <w:szCs w:val="22"/>
        </w:rPr>
        <w:t xml:space="preserve">Mapa de cobertura transversal con alertas por severidad</w:t>
      </w:r>
    </w:p>
    <w:p>
      <w:pPr>
        <w:pStyle w:val="ListParagraph"/>
        <w:numPr>
          <w:ilvl w:val="0"/>
          <w:numId w:val="2"/>
        </w:numPr>
        <w:spacing w:after="40" w:before="40"/>
      </w:pPr>
      <w:r>
        <w:rPr>
          <w:rFonts w:ascii="Arial" w:cs="Arial" w:eastAsia="Arial" w:hAnsi="Arial"/>
          <w:color w:val="4A4A5E"/>
          <w:sz w:val="22"/>
          <w:szCs w:val="22"/>
        </w:rPr>
        <w:t xml:space="preserve">Coordinación y aprobación del proyecto intermodular</w:t>
      </w:r>
    </w:p>
    <w:p>
      <w:pPr>
        <w:pStyle w:val="ListParagraph"/>
        <w:numPr>
          <w:ilvl w:val="0"/>
          <w:numId w:val="2"/>
        </w:numPr>
        <w:spacing w:after="40" w:before="40"/>
      </w:pPr>
      <w:r>
        <w:rPr>
          <w:rFonts w:ascii="Arial" w:cs="Arial" w:eastAsia="Arial" w:hAnsi="Arial"/>
          <w:color w:val="4A4A5E"/>
          <w:sz w:val="22"/>
          <w:szCs w:val="22"/>
        </w:rPr>
        <w:t xml:space="preserve">Publicación de la Programación Didáctica oficial del curso</w:t>
      </w:r>
    </w:p>
    <w:p>
      <w:pPr>
        <w:pStyle w:val="ListParagraph"/>
        <w:numPr>
          <w:ilvl w:val="0"/>
          <w:numId w:val="2"/>
        </w:numPr>
        <w:spacing w:after="40" w:before="40"/>
      </w:pPr>
      <w:r>
        <w:rPr>
          <w:rFonts w:ascii="Arial" w:cs="Arial" w:eastAsia="Arial" w:hAnsi="Arial"/>
          <w:color w:val="4A4A5E"/>
          <w:sz w:val="22"/>
          <w:szCs w:val="22"/>
        </w:rPr>
        <w:t xml:space="preserve">Exportación del documento completo a PDF (17 secciones)</w:t>
      </w:r>
    </w:p>
    <w:p>
      <w:pPr>
        <w:spacing w:after="0" w:before="120"/>
      </w:pPr>
      <w:r>
        <w:t xml:space="preserve"/>
      </w:r>
    </w:p>
    <w:p>
      <w:pPr>
        <w:pStyle w:val="Heading2"/>
        <w:spacing w:after="120" w:before="280"/>
      </w:pPr>
      <w:r>
        <w:rPr>
          <w:rFonts w:ascii="Arial" w:cs="Arial" w:eastAsia="Arial" w:hAnsi="Arial"/>
          <w:b/>
          <w:bCs/>
          <w:color w:val="0D6E6E"/>
          <w:sz w:val="26"/>
          <w:szCs w:val="26"/>
        </w:rPr>
        <w:t xml:space="preserve">2.2 Profesorado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CC" w:sz="1"/>
              <w:left w:val="single" w:color="DDDBCC" w:sz="1"/>
              <w:bottom w:val="single" w:color="DDDBCC" w:sz="1"/>
              <w:right w:val="single" w:color="DDDBCC" w:sz="1"/>
            </w:tcBorders>
            <w:shd w:fill="EEE8F8" w:val="clear"/>
            <w:tcMar>
              <w:top w:type="dxa" w:w="160"/>
              <w:left w:type="dxa" w:w="200"/>
              <w:bottom w:type="dxa" w:w="160"/>
              <w:right w:type="dxa" w:w="200"/>
            </w:tcMar>
          </w:tcPr>
          <w:p>
            <w:pPr>
              <w:spacing w:after="40" w:before="40"/>
            </w:pPr>
            <w:r>
              <w:rPr>
                <w:rFonts w:ascii="Arial" w:cs="Arial" w:eastAsia="Arial" w:hAnsi="Arial"/>
                <w:color w:val="5C3A9A"/>
                <w:sz w:val="22"/>
                <w:szCs w:val="22"/>
              </w:rPr>
              <w:t xml:space="preserve">Rol autor. Responsable de diseñar y actualizar la programación de su módulo asignado.</w:t>
            </w:r>
          </w:p>
        </w:tc>
      </w:tr>
    </w:tbl>
    <w:p>
      <w:pPr>
        <w:spacing w:after="0" w:before="80"/>
      </w:pPr>
      <w:r>
        <w:t xml:space="preserve"/>
      </w:r>
    </w:p>
    <w:p>
      <w:pPr>
        <w:spacing w:after="80" w:before="60"/>
      </w:pPr>
      <w:r>
        <w:rPr>
          <w:rFonts w:ascii="Arial" w:cs="Arial" w:eastAsia="Arial" w:hAnsi="Arial"/>
          <w:b w:val="false"/>
          <w:bCs w:val="false"/>
          <w:i w:val="false"/>
          <w:iCs w:val="false"/>
          <w:color w:val="4A4A5E"/>
          <w:sz w:val="22"/>
          <w:szCs w:val="22"/>
        </w:rPr>
        <w:t xml:space="preserve">El docente completa 6 pasos: registro institucional, datos profesionales, selección de módulo y grupo asignado, carga del módulo (importación desde PDF o introducción manual de RA y criterios), configuración didáctica (metodología, instrumentos, calificación) y envío a revisión.</w:t>
      </w:r>
    </w:p>
    <w:p>
      <w:pPr>
        <w:spacing w:after="0" w:before="60"/>
      </w:pPr>
      <w:r>
        <w:t xml:space="preserve"/>
      </w:r>
    </w:p>
    <w:p>
      <w:pPr>
        <w:spacing w:after="80" w:before="60"/>
      </w:pPr>
      <w:r>
        <w:rPr>
          <w:rFonts w:ascii="Arial" w:cs="Arial" w:eastAsia="Arial" w:hAnsi="Arial"/>
          <w:b/>
          <w:bCs/>
          <w:i w:val="false"/>
          <w:iCs w:val="false"/>
          <w:color w:val="4A4A5E"/>
          <w:sz w:val="22"/>
          <w:szCs w:val="22"/>
        </w:rPr>
        <w:t xml:space="preserve">Funcionalidades del docente:</w:t>
      </w:r>
    </w:p>
    <w:p>
      <w:pPr>
        <w:pStyle w:val="ListParagraph"/>
        <w:numPr>
          <w:ilvl w:val="0"/>
          <w:numId w:val="2"/>
        </w:numPr>
        <w:spacing w:after="40" w:before="40"/>
      </w:pPr>
      <w:r>
        <w:rPr>
          <w:rFonts w:ascii="Arial" w:cs="Arial" w:eastAsia="Arial" w:hAnsi="Arial"/>
          <w:color w:val="4A4A5E"/>
          <w:sz w:val="22"/>
          <w:szCs w:val="22"/>
        </w:rPr>
        <w:t xml:space="preserve">Editor completo de RA, criterios de evaluación y unidades de trabajo</w:t>
      </w:r>
    </w:p>
    <w:p>
      <w:pPr>
        <w:pStyle w:val="ListParagraph"/>
        <w:numPr>
          <w:ilvl w:val="0"/>
          <w:numId w:val="2"/>
        </w:numPr>
        <w:spacing w:after="40" w:before="40"/>
      </w:pPr>
      <w:r>
        <w:rPr>
          <w:rFonts w:ascii="Arial" w:cs="Arial" w:eastAsia="Arial" w:hAnsi="Arial"/>
          <w:color w:val="4A4A5E"/>
          <w:sz w:val="22"/>
          <w:szCs w:val="22"/>
        </w:rPr>
        <w:t xml:space="preserve">Importación automática de RA desde PDFs de módulo (ATZ_RA.pdf, PMB_RA.pdf, etc.)</w:t>
      </w:r>
    </w:p>
    <w:p>
      <w:pPr>
        <w:pStyle w:val="ListParagraph"/>
        <w:numPr>
          <w:ilvl w:val="0"/>
          <w:numId w:val="2"/>
        </w:numPr>
        <w:spacing w:after="40" w:before="40"/>
      </w:pPr>
      <w:r>
        <w:rPr>
          <w:rFonts w:ascii="Arial" w:cs="Arial" w:eastAsia="Arial" w:hAnsi="Arial"/>
          <w:color w:val="4A4A5E"/>
          <w:sz w:val="22"/>
          <w:szCs w:val="22"/>
        </w:rPr>
        <w:t xml:space="preserve">Configuración de instrumentos de evaluación y criterios de calificación</w:t>
      </w:r>
    </w:p>
    <w:p>
      <w:pPr>
        <w:pStyle w:val="ListParagraph"/>
        <w:numPr>
          <w:ilvl w:val="0"/>
          <w:numId w:val="2"/>
        </w:numPr>
        <w:spacing w:after="40" w:before="40"/>
      </w:pPr>
      <w:r>
        <w:rPr>
          <w:rFonts w:ascii="Arial" w:cs="Arial" w:eastAsia="Arial" w:hAnsi="Arial"/>
          <w:color w:val="4A4A5E"/>
          <w:sz w:val="22"/>
          <w:szCs w:val="22"/>
        </w:rPr>
        <w:t xml:space="preserve">Registro de avance de RA durante el curso (trazabilidad)</w:t>
      </w:r>
    </w:p>
    <w:p>
      <w:pPr>
        <w:pStyle w:val="ListParagraph"/>
        <w:numPr>
          <w:ilvl w:val="0"/>
          <w:numId w:val="2"/>
        </w:numPr>
        <w:spacing w:after="40" w:before="40"/>
      </w:pPr>
      <w:r>
        <w:rPr>
          <w:rFonts w:ascii="Arial" w:cs="Arial" w:eastAsia="Arial" w:hAnsi="Arial"/>
          <w:color w:val="4A4A5E"/>
          <w:sz w:val="22"/>
          <w:szCs w:val="22"/>
        </w:rPr>
        <w:t xml:space="preserve">Registro de cambios justificados en la programación publicada</w:t>
      </w:r>
    </w:p>
    <w:p>
      <w:pPr>
        <w:spacing w:after="0" w:before="120"/>
      </w:pPr>
      <w:r>
        <w:t xml:space="preserve"/>
      </w:r>
    </w:p>
    <w:p>
      <w:pPr>
        <w:pStyle w:val="Heading2"/>
        <w:spacing w:after="120" w:before="280"/>
      </w:pPr>
      <w:r>
        <w:rPr>
          <w:rFonts w:ascii="Arial" w:cs="Arial" w:eastAsia="Arial" w:hAnsi="Arial"/>
          <w:b/>
          <w:bCs/>
          <w:color w:val="0D6E6E"/>
          <w:sz w:val="26"/>
          <w:szCs w:val="26"/>
        </w:rPr>
        <w:t xml:space="preserve">2.3 Alumnado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CC" w:sz="1"/>
              <w:left w:val="single" w:color="DDDBCC" w:sz="1"/>
              <w:bottom w:val="single" w:color="DDDBCC" w:sz="1"/>
              <w:right w:val="single" w:color="DDDBCC" w:sz="1"/>
            </w:tcBorders>
            <w:shd w:fill="E5EAF8" w:val="clear"/>
            <w:tcMar>
              <w:top w:type="dxa" w:w="160"/>
              <w:left w:type="dxa" w:w="200"/>
              <w:bottom w:type="dxa" w:w="160"/>
              <w:right w:type="dxa" w:w="200"/>
            </w:tcMar>
          </w:tcPr>
          <w:p>
            <w:pPr>
              <w:spacing w:after="40" w:before="40"/>
            </w:pPr>
            <w:r>
              <w:rPr>
                <w:rFonts w:ascii="Arial" w:cs="Arial" w:eastAsia="Arial" w:hAnsi="Arial"/>
                <w:color w:val="1A3A8A"/>
                <w:sz w:val="22"/>
                <w:szCs w:val="22"/>
              </w:rPr>
              <w:t xml:space="preserve">Rol consultor y agente activo de su itinerario formativo (ITK y FCT).</w:t>
            </w:r>
          </w:p>
        </w:tc>
      </w:tr>
    </w:tbl>
    <w:p>
      <w:pPr>
        <w:spacing w:after="0" w:before="80"/>
      </w:pPr>
      <w:r>
        <w:t xml:space="preserve"/>
      </w:r>
    </w:p>
    <w:p>
      <w:pPr>
        <w:spacing w:after="80" w:before="60"/>
      </w:pPr>
      <w:r>
        <w:rPr>
          <w:rFonts w:ascii="Arial" w:cs="Arial" w:eastAsia="Arial" w:hAnsi="Arial"/>
          <w:b w:val="false"/>
          <w:bCs w:val="false"/>
          <w:i w:val="false"/>
          <w:iCs w:val="false"/>
          <w:color w:val="4A4A5E"/>
          <w:sz w:val="22"/>
          <w:szCs w:val="22"/>
        </w:rPr>
        <w:t xml:space="preserve">El alumno completa 5 pasos: registro con código de matrícula, datos personales, vinculación automática al ciclo y grupo, perfil educativo (titulación de acceso, experiencia previa) y necesidades específicas (ACNEAE, preferencias FCT).</w:t>
      </w:r>
    </w:p>
    <w:p>
      <w:pPr>
        <w:spacing w:after="0" w:before="60"/>
      </w:pPr>
      <w:r>
        <w:t xml:space="preserve"/>
      </w:r>
    </w:p>
    <w:p>
      <w:pPr>
        <w:spacing w:after="80" w:before="60"/>
      </w:pPr>
      <w:r>
        <w:rPr>
          <w:rFonts w:ascii="Arial" w:cs="Arial" w:eastAsia="Arial" w:hAnsi="Arial"/>
          <w:b/>
          <w:bCs/>
          <w:i w:val="false"/>
          <w:iCs w:val="false"/>
          <w:color w:val="4A4A5E"/>
          <w:sz w:val="22"/>
          <w:szCs w:val="22"/>
        </w:rPr>
        <w:t xml:space="preserve">Funcionalidades del alumnado:</w:t>
      </w:r>
    </w:p>
    <w:p>
      <w:pPr>
        <w:pStyle w:val="ListParagraph"/>
        <w:numPr>
          <w:ilvl w:val="0"/>
          <w:numId w:val="2"/>
        </w:numPr>
        <w:spacing w:after="40" w:before="40"/>
      </w:pPr>
      <w:r>
        <w:rPr>
          <w:rFonts w:ascii="Arial" w:cs="Arial" w:eastAsia="Arial" w:hAnsi="Arial"/>
          <w:color w:val="4A4A5E"/>
          <w:sz w:val="22"/>
          <w:szCs w:val="22"/>
        </w:rPr>
        <w:t xml:space="preserve">Consulta de programaciones, RA y criterios de evaluación de sus módulos</w:t>
      </w:r>
    </w:p>
    <w:p>
      <w:pPr>
        <w:pStyle w:val="ListParagraph"/>
        <w:numPr>
          <w:ilvl w:val="0"/>
          <w:numId w:val="2"/>
        </w:numPr>
        <w:spacing w:after="40" w:before="40"/>
      </w:pPr>
      <w:r>
        <w:rPr>
          <w:rFonts w:ascii="Arial" w:cs="Arial" w:eastAsia="Arial" w:hAnsi="Arial"/>
          <w:color w:val="4A4A5E"/>
          <w:sz w:val="22"/>
          <w:szCs w:val="22"/>
        </w:rPr>
        <w:t xml:space="preserve">Seguimiento de su itinerario personal para la empleabilidad (módulo ITK)</w:t>
      </w:r>
    </w:p>
    <w:p>
      <w:pPr>
        <w:pStyle w:val="ListParagraph"/>
        <w:numPr>
          <w:ilvl w:val="0"/>
          <w:numId w:val="2"/>
        </w:numPr>
        <w:spacing w:after="40" w:before="40"/>
      </w:pPr>
      <w:r>
        <w:rPr>
          <w:rFonts w:ascii="Arial" w:cs="Arial" w:eastAsia="Arial" w:hAnsi="Arial"/>
          <w:color w:val="4A4A5E"/>
          <w:sz w:val="22"/>
          <w:szCs w:val="22"/>
        </w:rPr>
        <w:t xml:space="preserve">Registro y seguimiento de prácticas en empresa (FCT)</w:t>
      </w:r>
    </w:p>
    <w:p>
      <w:pPr>
        <w:pStyle w:val="ListParagraph"/>
        <w:numPr>
          <w:ilvl w:val="0"/>
          <w:numId w:val="2"/>
        </w:numPr>
        <w:spacing w:after="40" w:before="40"/>
      </w:pPr>
      <w:r>
        <w:rPr>
          <w:rFonts w:ascii="Arial" w:cs="Arial" w:eastAsia="Arial" w:hAnsi="Arial"/>
          <w:color w:val="4A4A5E"/>
          <w:sz w:val="22"/>
          <w:szCs w:val="22"/>
        </w:rPr>
        <w:t xml:space="preserve">Acceso al seguimiento del proyecto intermodular</w:t>
      </w:r>
    </w:p>
    <w:p>
      <w:r>
        <w:br w:type="page"/>
      </w:r>
    </w:p>
    <w:p>
      <w:pPr>
        <w:pStyle w:val="Heading1"/>
        <w:spacing w:after="160" w:before="400"/>
      </w:pPr>
      <w:r>
        <w:rPr>
          <w:rFonts w:ascii="Arial" w:cs="Arial" w:eastAsia="Arial" w:hAnsi="Arial"/>
          <w:b/>
          <w:bCs/>
          <w:color w:val="1A1A24"/>
          <w:sz w:val="32"/>
          <w:szCs w:val="32"/>
        </w:rPr>
        <w:t xml:space="preserve">3. Modelo de datos</w:t>
      </w:r>
    </w:p>
    <w:p>
      <w:pPr>
        <w:spacing w:after="80" w:before="60"/>
      </w:pPr>
      <w:r>
        <w:rPr>
          <w:rFonts w:ascii="Arial" w:cs="Arial" w:eastAsia="Arial" w:hAnsi="Arial"/>
          <w:b w:val="false"/>
          <w:bCs w:val="false"/>
          <w:i w:val="false"/>
          <w:iCs w:val="false"/>
          <w:color w:val="4A4A5E"/>
          <w:sz w:val="22"/>
          <w:szCs w:val="22"/>
        </w:rPr>
        <w:t xml:space="preserve">El modelo se organiza en tres bloques lógicos que se relacionan entre sí a través de la entidad central PROG_MODULO, que une una programación general del departamento con un módulo concreto, un docente y un grupo de alumnos.</w:t>
      </w:r>
    </w:p>
    <w:p>
      <w:pPr>
        <w:spacing w:after="0" w:before="80"/>
      </w:pPr>
      <w:r>
        <w:t xml:space="preserve"/>
      </w:r>
    </w:p>
    <w:p>
      <w:pPr>
        <w:pStyle w:val="Heading2"/>
        <w:spacing w:after="120" w:before="280"/>
      </w:pPr>
      <w:r>
        <w:rPr>
          <w:rFonts w:ascii="Arial" w:cs="Arial" w:eastAsia="Arial" w:hAnsi="Arial"/>
          <w:b/>
          <w:bCs/>
          <w:color w:val="0D6E6E"/>
          <w:sz w:val="26"/>
          <w:szCs w:val="26"/>
        </w:rPr>
        <w:t xml:space="preserve">3.1 Bloque de organización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Entidad</w:t>
            </w:r>
          </w:p>
        </w:tc>
        <w:tc>
          <w:tcPr>
            <w:tcW w:type="dxa" w:w="656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Descripción y campos principales</w:t>
            </w:r>
          </w:p>
        </w:tc>
      </w:tr>
      <w:tr>
        <w:tc>
          <w:tcPr>
            <w:tcW w:type="dxa" w:w="2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DEPARTAMENTO</w:t>
            </w:r>
          </w:p>
        </w:tc>
        <w:tc>
          <w:tcPr>
            <w:tcW w:type="dxa" w:w="6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Nombre, familia profesional, centro IES, municipio</w:t>
            </w:r>
          </w:p>
        </w:tc>
      </w:tr>
      <w:tr>
        <w:tc>
          <w:tcPr>
            <w:tcW w:type="dxa" w:w="2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CICLO</w:t>
            </w:r>
          </w:p>
        </w:tc>
        <w:tc>
          <w:tcPr>
            <w:tcW w:type="dxa" w:w="6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Nombre, nivel (CFGM/CFGS), departamento_id FK</w:t>
            </w:r>
          </w:p>
        </w:tc>
      </w:tr>
      <w:tr>
        <w:tc>
          <w:tcPr>
            <w:tcW w:type="dxa" w:w="2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GRUPO</w:t>
            </w:r>
          </w:p>
        </w:tc>
        <w:tc>
          <w:tcPr>
            <w:tcW w:type="dxa" w:w="6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Nombre, número de alumnos, turno, ciclo_id FK</w:t>
            </w:r>
          </w:p>
        </w:tc>
      </w:tr>
      <w:tr>
        <w:tc>
          <w:tcPr>
            <w:tcW w:type="dxa" w:w="2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USUARIO</w:t>
            </w:r>
          </w:p>
        </w:tc>
        <w:tc>
          <w:tcPr>
            <w:tcW w:type="dxa" w:w="6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Nombre, email, rol (JEFE/DOCENTE/ALUMNO), departamento_id FK</w:t>
            </w:r>
          </w:p>
        </w:tc>
      </w:tr>
    </w:tbl>
    <w:p>
      <w:pPr>
        <w:spacing w:after="0" w:before="120"/>
      </w:pPr>
      <w:r>
        <w:t xml:space="preserve"/>
      </w:r>
    </w:p>
    <w:p>
      <w:pPr>
        <w:pStyle w:val="Heading2"/>
        <w:spacing w:after="120" w:before="280"/>
      </w:pPr>
      <w:r>
        <w:rPr>
          <w:rFonts w:ascii="Arial" w:cs="Arial" w:eastAsia="Arial" w:hAnsi="Arial"/>
          <w:b/>
          <w:bCs/>
          <w:color w:val="0D6E6E"/>
          <w:sz w:val="26"/>
          <w:szCs w:val="26"/>
        </w:rPr>
        <w:t xml:space="preserve">3.2 Bloque curricular (estático)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Entidad</w:t>
            </w:r>
          </w:p>
        </w:tc>
        <w:tc>
          <w:tcPr>
            <w:tcW w:type="dxa" w:w="656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Descripción y campos principales</w:t>
            </w:r>
          </w:p>
        </w:tc>
      </w:tr>
      <w:tr>
        <w:tc>
          <w:tcPr>
            <w:tcW w:type="dxa" w:w="2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MODULO</w:t>
            </w:r>
          </w:p>
        </w:tc>
        <w:tc>
          <w:tcPr>
            <w:tcW w:type="dxa" w:w="6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Código (ATZ, GNE…), nombre, horas totales, ciclo_id FK</w:t>
            </w:r>
          </w:p>
        </w:tc>
      </w:tr>
      <w:tr>
        <w:tc>
          <w:tcPr>
            <w:tcW w:type="dxa" w:w="2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RA</w:t>
            </w:r>
          </w:p>
        </w:tc>
        <w:tc>
          <w:tcPr>
            <w:tcW w:type="dxa" w:w="6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Número, descripción completa, modulo_id FK</w:t>
            </w:r>
          </w:p>
        </w:tc>
      </w:tr>
      <w:tr>
        <w:tc>
          <w:tcPr>
            <w:tcW w:type="dxa" w:w="2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CRITERIO</w:t>
            </w:r>
          </w:p>
        </w:tc>
        <w:tc>
          <w:tcPr>
            <w:tcW w:type="dxa" w:w="6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Letra (a, b, c…), descripción, peso en calificación (%), ra_id FK</w:t>
            </w:r>
          </w:p>
        </w:tc>
      </w:tr>
      <w:tr>
        <w:tc>
          <w:tcPr>
            <w:tcW w:type="dxa" w:w="2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TRANSVERSAL</w:t>
            </w:r>
          </w:p>
        </w:tc>
        <w:tc>
          <w:tcPr>
            <w:tcW w:type="dxa" w:w="6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Tipo (PRL, Digitalización, Sostenibilidad, Igualdad, Emprendimiento), descripción</w:t>
            </w:r>
          </w:p>
        </w:tc>
      </w:tr>
    </w:tbl>
    <w:p>
      <w:pPr>
        <w:spacing w:after="0" w:before="80"/>
      </w:pPr>
      <w:r>
        <w:t xml:space="preserve"/>
      </w:r>
    </w:p>
    <w:p>
      <w:pPr>
        <w:spacing w:after="80" w:before="60"/>
      </w:pPr>
      <w:r>
        <w:rPr>
          <w:rFonts w:ascii="Arial" w:cs="Arial" w:eastAsia="Arial" w:hAnsi="Arial"/>
          <w:b w:val="false"/>
          <w:bCs w:val="false"/>
          <w:i w:val="false"/>
          <w:iCs w:val="false"/>
          <w:color w:val="4A4A5E"/>
          <w:sz w:val="22"/>
          <w:szCs w:val="22"/>
        </w:rPr>
        <w:t xml:space="preserve">El bloque curricular es estático: lo define la normativa del título y se carga desde los PDFs del módulo mediante extracción automática (pdfjs) o introducción manual del docente.</w:t>
      </w:r>
    </w:p>
    <w:p>
      <w:pPr>
        <w:spacing w:after="0" w:before="120"/>
      </w:pPr>
      <w:r>
        <w:t xml:space="preserve"/>
      </w:r>
    </w:p>
    <w:p>
      <w:pPr>
        <w:pStyle w:val="Heading2"/>
        <w:spacing w:after="120" w:before="280"/>
      </w:pPr>
      <w:r>
        <w:rPr>
          <w:rFonts w:ascii="Arial" w:cs="Arial" w:eastAsia="Arial" w:hAnsi="Arial"/>
          <w:b/>
          <w:bCs/>
          <w:color w:val="0D6E6E"/>
          <w:sz w:val="26"/>
          <w:szCs w:val="26"/>
        </w:rPr>
        <w:t xml:space="preserve">3.3 Bloque de programación (dinámico)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Entidad</w:t>
            </w:r>
          </w:p>
        </w:tc>
        <w:tc>
          <w:tcPr>
            <w:tcW w:type="dxa" w:w="656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Descripción y campos principales</w:t>
            </w:r>
          </w:p>
        </w:tc>
      </w:tr>
      <w:tr>
        <w:tc>
          <w:tcPr>
            <w:tcW w:type="dxa" w:w="2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PROGRAMACION</w:t>
            </w:r>
          </w:p>
        </w:tc>
        <w:tc>
          <w:tcPr>
            <w:tcW w:type="dxa" w:w="6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Curso académico, estado general, fecha de publicación, departamento_id FK</w:t>
            </w:r>
          </w:p>
        </w:tc>
      </w:tr>
      <w:tr>
        <w:tc>
          <w:tcPr>
            <w:tcW w:type="dxa" w:w="2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PROG_MODULO</w:t>
            </w:r>
          </w:p>
        </w:tc>
        <w:tc>
          <w:tcPr>
            <w:tcW w:type="dxa" w:w="6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Estado (borrador/revisión/aprobado/publicado/con_cambios), programacion_id FK, modulo_id FK, docente_id FK, grupo_id FK</w:t>
            </w:r>
          </w:p>
        </w:tc>
      </w:tr>
      <w:tr>
        <w:tc>
          <w:tcPr>
            <w:tcW w:type="dxa" w:w="2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UT</w:t>
            </w:r>
          </w:p>
        </w:tc>
        <w:tc>
          <w:tcPr>
            <w:tcW w:type="dxa" w:w="6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Orden, título, horas, trimestre, prog_modulo_id FK</w:t>
            </w:r>
          </w:p>
        </w:tc>
      </w:tr>
      <w:tr>
        <w:tc>
          <w:tcPr>
            <w:tcW w:type="dxa" w:w="2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CAMBIO</w:t>
            </w:r>
          </w:p>
        </w:tc>
        <w:tc>
          <w:tcPr>
            <w:tcW w:type="dxa" w:w="6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Justificación, fecha, autoría (usuario_id FK), prog_modulo_id FK</w:t>
            </w:r>
          </w:p>
        </w:tc>
      </w:tr>
    </w:tbl>
    <w:p>
      <w:pPr>
        <w:spacing w:after="0" w:before="80"/>
      </w:pPr>
      <w:r>
        <w:t xml:space="preserve"/>
      </w:r>
    </w:p>
    <w:p>
      <w:pPr>
        <w:spacing w:after="80" w:before="60"/>
      </w:pPr>
      <w:r>
        <w:rPr>
          <w:rFonts w:ascii="Arial" w:cs="Arial" w:eastAsia="Arial" w:hAnsi="Arial"/>
          <w:b w:val="false"/>
          <w:bCs w:val="false"/>
          <w:i w:val="false"/>
          <w:iCs w:val="false"/>
          <w:color w:val="4A4A5E"/>
          <w:sz w:val="22"/>
          <w:szCs w:val="22"/>
        </w:rPr>
        <w:t xml:space="preserve">Relaciones muchos a muchos relevantes: UT ↔ CRITERIO (un criterio puede trabajarse en varias UT y una UT puede trabajar varios criterios) y PROG_MODULO ↔ TRANSVERSAL (un módulo cubre varios elementos transversales).</w:t>
      </w:r>
    </w:p>
    <w:p>
      <w:r>
        <w:br w:type="page"/>
      </w:r>
    </w:p>
    <w:p>
      <w:pPr>
        <w:pStyle w:val="Heading1"/>
        <w:spacing w:after="160" w:before="400"/>
      </w:pPr>
      <w:r>
        <w:rPr>
          <w:rFonts w:ascii="Arial" w:cs="Arial" w:eastAsia="Arial" w:hAnsi="Arial"/>
          <w:b/>
          <w:bCs/>
          <w:color w:val="1A1A24"/>
          <w:sz w:val="32"/>
          <w:szCs w:val="32"/>
        </w:rPr>
        <w:t xml:space="preserve">4. Ciclo de vida de la programación</w:t>
      </w:r>
    </w:p>
    <w:p>
      <w:pPr>
        <w:spacing w:after="80" w:before="60"/>
      </w:pPr>
      <w:r>
        <w:rPr>
          <w:rFonts w:ascii="Arial" w:cs="Arial" w:eastAsia="Arial" w:hAnsi="Arial"/>
          <w:b w:val="false"/>
          <w:bCs w:val="false"/>
          <w:i w:val="false"/>
          <w:iCs w:val="false"/>
          <w:color w:val="4A4A5E"/>
          <w:sz w:val="22"/>
          <w:szCs w:val="22"/>
        </w:rPr>
        <w:t xml:space="preserve">La entidad PROG_MODULO atraviesa 5 estados a lo largo del curso. Las transiciones en morado las inicia el docente; las transiciones en ámbar las autoriza el jefe de departamento.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BCC" w:sz="1"/>
              <w:left w:val="single" w:color="DDDBCC" w:sz="1"/>
              <w:bottom w:val="single" w:color="DDDBCC" w:sz="1"/>
              <w:right w:val="single" w:color="DDDBCC" w:sz="1"/>
            </w:tcBorders>
            <w:shd w:fill="F4F3EF" w:val="clear"/>
            <w:tcMar>
              <w:top w:type="dxa" w:w="100"/>
              <w:left w:type="dxa" w:w="120"/>
              <w:bottom w:type="dxa" w:w="100"/>
              <w:right w:type="dxa" w:w="120"/>
            </w:tcMar>
          </w:tcPr>
          <w:p>
            <w:r>
              <w:rPr>
                <w:rFonts w:ascii="Arial" w:cs="Arial" w:eastAsia="Arial" w:hAnsi="Arial"/>
                <w:b/>
                <w:bCs/>
                <w:color w:val="1A1A24"/>
                <w:sz w:val="20"/>
                <w:szCs w:val="20"/>
              </w:rPr>
              <w:t xml:space="preserve">Estado</w:t>
            </w:r>
          </w:p>
        </w:tc>
        <w:tc>
          <w:tcPr>
            <w:tcW w:type="dxa" w:w="4160"/>
            <w:tcBorders>
              <w:top w:val="single" w:color="DDDBCC" w:sz="1"/>
              <w:left w:val="single" w:color="DDDBCC" w:sz="1"/>
              <w:bottom w:val="single" w:color="DDDBCC" w:sz="1"/>
              <w:right w:val="single" w:color="DDDBCC" w:sz="1"/>
            </w:tcBorders>
            <w:shd w:fill="F4F3EF" w:val="clear"/>
            <w:tcMar>
              <w:top w:type="dxa" w:w="100"/>
              <w:left w:type="dxa" w:w="120"/>
              <w:bottom w:type="dxa" w:w="100"/>
              <w:right w:type="dxa" w:w="120"/>
            </w:tcMar>
          </w:tcPr>
          <w:p>
            <w:r>
              <w:rPr>
                <w:rFonts w:ascii="Arial" w:cs="Arial" w:eastAsia="Arial" w:hAnsi="Arial"/>
                <w:b/>
                <w:bCs/>
                <w:color w:val="1A1A24"/>
                <w:sz w:val="20"/>
                <w:szCs w:val="20"/>
              </w:rPr>
              <w:t xml:space="preserve">Descripción</w:t>
            </w:r>
          </w:p>
        </w:tc>
        <w:tc>
          <w:tcPr>
            <w:tcW w:type="dxa" w:w="3000"/>
            <w:tcBorders>
              <w:top w:val="single" w:color="DDDBCC" w:sz="1"/>
              <w:left w:val="single" w:color="DDDBCC" w:sz="1"/>
              <w:bottom w:val="single" w:color="DDDBCC" w:sz="1"/>
              <w:right w:val="single" w:color="DDDBCC" w:sz="1"/>
            </w:tcBorders>
            <w:shd w:fill="F4F3EF" w:val="clear"/>
            <w:tcMar>
              <w:top w:type="dxa" w:w="100"/>
              <w:left w:type="dxa" w:w="120"/>
              <w:bottom w:type="dxa" w:w="100"/>
              <w:right w:type="dxa" w:w="120"/>
            </w:tcMar>
          </w:tcPr>
          <w:p>
            <w:r>
              <w:rPr>
                <w:rFonts w:ascii="Arial" w:cs="Arial" w:eastAsia="Arial" w:hAnsi="Arial"/>
                <w:b/>
                <w:bCs/>
                <w:color w:val="1A1A24"/>
                <w:sz w:val="20"/>
                <w:szCs w:val="20"/>
              </w:rPr>
              <w:t xml:space="preserve">Transición de salida</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Borrador</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En elaboración por el docente. Solo él tiene acceso.</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Docente envía → En revisión</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En revisión</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Enviada al jefe. Docente no puede editar.</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Jefe aprueba → Aprobado
Jefe devuelve → Requiere cambios</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Requiere cambios</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Jefe ha detectado aspectos a corregir. El docente los corrige.</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Docente reenvía → En revisión</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Aprobado</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Jefe ha validado. Bloqueada hasta publicación del curso.</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Jefe publica → Publicado</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Publicado</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Visible para alumnado. Presentable ante inspección.</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Docente registra cambio → Con cambios</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Con cambios</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Cambio justificado durante el curso. Pendiente de aprobación.</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Jefe aprueba cambio menor → Publicado
Jefe solicita revisión mayor → En revisión</w:t>
            </w:r>
          </w:p>
        </w:tc>
      </w:tr>
    </w:tbl>
    <w:p>
      <w:pPr>
        <w:spacing w:after="0" w:before="120"/>
      </w:pPr>
      <w:r>
        <w:t xml:space="preserve"/>
      </w:r>
    </w:p>
    <w:p>
      <w:pPr>
        <w:pStyle w:val="Heading2"/>
        <w:spacing w:after="120" w:before="280"/>
      </w:pPr>
      <w:r>
        <w:rPr>
          <w:rFonts w:ascii="Arial" w:cs="Arial" w:eastAsia="Arial" w:hAnsi="Arial"/>
          <w:b/>
          <w:bCs/>
          <w:color w:val="0D6E6E"/>
          <w:sz w:val="26"/>
          <w:szCs w:val="26"/>
        </w:rPr>
        <w:t xml:space="preserve">4.1 Reglas de publicación</w:t>
      </w:r>
    </w:p>
    <w:p>
      <w:pPr>
        <w:spacing w:after="80" w:before="60"/>
      </w:pPr>
      <w:r>
        <w:rPr>
          <w:rFonts w:ascii="Arial" w:cs="Arial" w:eastAsia="Arial" w:hAnsi="Arial"/>
          <w:b w:val="false"/>
          <w:bCs w:val="false"/>
          <w:i w:val="false"/>
          <w:iCs w:val="false"/>
          <w:color w:val="4A4A5E"/>
          <w:sz w:val="22"/>
          <w:szCs w:val="22"/>
        </w:rPr>
        <w:t xml:space="preserve">El sistema no permite publicar el curso hasta que se cumplen todas las condiciones del checklist:</w:t>
      </w:r>
    </w:p>
    <w:p>
      <w:pPr>
        <w:pStyle w:val="ListParagraph"/>
        <w:numPr>
          <w:ilvl w:val="0"/>
          <w:numId w:val="2"/>
        </w:numPr>
        <w:spacing w:after="40" w:before="40"/>
      </w:pPr>
      <w:r>
        <w:rPr>
          <w:rFonts w:ascii="Arial" w:cs="Arial" w:eastAsia="Arial" w:hAnsi="Arial"/>
          <w:color w:val="4A4A5E"/>
          <w:sz w:val="22"/>
          <w:szCs w:val="22"/>
        </w:rPr>
        <w:t xml:space="preserve">100% de módulos del ciclo en estado Aprobado</w:t>
      </w:r>
    </w:p>
    <w:p>
      <w:pPr>
        <w:pStyle w:val="ListParagraph"/>
        <w:numPr>
          <w:ilvl w:val="0"/>
          <w:numId w:val="2"/>
        </w:numPr>
        <w:spacing w:after="40" w:before="40"/>
      </w:pPr>
      <w:r>
        <w:rPr>
          <w:rFonts w:ascii="Arial" w:cs="Arial" w:eastAsia="Arial" w:hAnsi="Arial"/>
          <w:color w:val="4A4A5E"/>
          <w:sz w:val="22"/>
          <w:szCs w:val="22"/>
        </w:rPr>
        <w:t xml:space="preserve">Sin alertas transversales de severidad Alta activas</w:t>
      </w:r>
    </w:p>
    <w:p>
      <w:pPr>
        <w:pStyle w:val="ListParagraph"/>
        <w:numPr>
          <w:ilvl w:val="0"/>
          <w:numId w:val="2"/>
        </w:numPr>
        <w:spacing w:after="40" w:before="40"/>
      </w:pPr>
      <w:r>
        <w:rPr>
          <w:rFonts w:ascii="Arial" w:cs="Arial" w:eastAsia="Arial" w:hAnsi="Arial"/>
          <w:color w:val="4A4A5E"/>
          <w:sz w:val="22"/>
          <w:szCs w:val="22"/>
        </w:rPr>
        <w:t xml:space="preserve">Proyecto intermodular registrado y aprobado por el jefe</w:t>
      </w:r>
    </w:p>
    <w:p>
      <w:pPr>
        <w:pStyle w:val="ListParagraph"/>
        <w:numPr>
          <w:ilvl w:val="0"/>
          <w:numId w:val="2"/>
        </w:numPr>
        <w:spacing w:after="40" w:before="40"/>
      </w:pPr>
      <w:r>
        <w:rPr>
          <w:rFonts w:ascii="Arial" w:cs="Arial" w:eastAsia="Arial" w:hAnsi="Arial"/>
          <w:color w:val="4A4A5E"/>
          <w:sz w:val="22"/>
          <w:szCs w:val="22"/>
        </w:rPr>
        <w:t xml:space="preserve">Calendario académico completo introducido</w:t>
      </w:r>
    </w:p>
    <w:p>
      <w:pPr>
        <w:pStyle w:val="ListParagraph"/>
        <w:numPr>
          <w:ilvl w:val="0"/>
          <w:numId w:val="2"/>
        </w:numPr>
        <w:spacing w:after="40" w:before="40"/>
      </w:pPr>
      <w:r>
        <w:rPr>
          <w:rFonts w:ascii="Arial" w:cs="Arial" w:eastAsia="Arial" w:hAnsi="Arial"/>
          <w:color w:val="4A4A5E"/>
          <w:sz w:val="22"/>
          <w:szCs w:val="22"/>
        </w:rPr>
        <w:t xml:space="preserve">Marco normativo vinculado al ciclo</w:t>
      </w:r>
    </w:p>
    <w:p>
      <w:pPr>
        <w:spacing w:after="0" w:before="80"/>
      </w:pPr>
      <w:r>
        <w:t xml:space="preserve"/>
      </w:r>
    </w:p>
    <w:p>
      <w:pPr>
        <w:pStyle w:val="Heading2"/>
        <w:spacing w:after="120" w:before="280"/>
      </w:pPr>
      <w:r>
        <w:rPr>
          <w:rFonts w:ascii="Arial" w:cs="Arial" w:eastAsia="Arial" w:hAnsi="Arial"/>
          <w:b/>
          <w:bCs/>
          <w:color w:val="0D6E6E"/>
          <w:sz w:val="26"/>
          <w:szCs w:val="26"/>
        </w:rPr>
        <w:t xml:space="preserve">4.2 Trazabilidad de cambios</w:t>
      </w:r>
    </w:p>
    <w:p>
      <w:pPr>
        <w:spacing w:after="80" w:before="60"/>
      </w:pPr>
      <w:r>
        <w:rPr>
          <w:rFonts w:ascii="Arial" w:cs="Arial" w:eastAsia="Arial" w:hAnsi="Arial"/>
          <w:b w:val="false"/>
          <w:bCs w:val="false"/>
          <w:i w:val="false"/>
          <w:iCs w:val="false"/>
          <w:color w:val="4A4A5E"/>
          <w:sz w:val="22"/>
          <w:szCs w:val="22"/>
        </w:rPr>
        <w:t xml:space="preserve">Cualquier modificación a una programación publicada genera un registro CAMBIO con fecha, autoría y justificación obligatoria. El jefe puede aprobar cambios menores (sin reiniciar el ciclo) o solicitar revisión completa para cambios mayores. Esta trazabilidad alimenta la memoria de fin de curso.</w:t>
      </w:r>
    </w:p>
    <w:p>
      <w:r>
        <w:br w:type="page"/>
      </w:r>
    </w:p>
    <w:p>
      <w:pPr>
        <w:pStyle w:val="Heading1"/>
        <w:spacing w:after="160" w:before="400"/>
      </w:pPr>
      <w:r>
        <w:rPr>
          <w:rFonts w:ascii="Arial" w:cs="Arial" w:eastAsia="Arial" w:hAnsi="Arial"/>
          <w:b/>
          <w:bCs/>
          <w:color w:val="1A1A24"/>
          <w:sz w:val="32"/>
          <w:szCs w:val="32"/>
        </w:rPr>
        <w:t xml:space="preserve">5. Módulos funcionales del sistema</w:t>
      </w:r>
    </w:p>
    <w:p>
      <w:pPr>
        <w:pStyle w:val="Heading2"/>
        <w:spacing w:after="120" w:before="280"/>
      </w:pPr>
      <w:r>
        <w:rPr>
          <w:rFonts w:ascii="Arial" w:cs="Arial" w:eastAsia="Arial" w:hAnsi="Arial"/>
          <w:b/>
          <w:bCs/>
          <w:color w:val="0D6E6E"/>
          <w:sz w:val="26"/>
          <w:szCs w:val="26"/>
        </w:rPr>
        <w:t xml:space="preserve">5.1 Gestión curricular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CC" w:sz="1"/>
              <w:left w:val="single" w:color="DDDBCC" w:sz="1"/>
              <w:bottom w:val="single" w:color="DDDBCC" w:sz="1"/>
              <w:right w:val="single" w:color="DDDBCC" w:sz="1"/>
            </w:tcBorders>
            <w:shd w:fill="E5EAF8" w:val="clear"/>
            <w:tcMar>
              <w:top w:type="dxa" w:w="160"/>
              <w:left w:type="dxa" w:w="200"/>
              <w:bottom w:type="dxa" w:w="160"/>
              <w:right w:type="dxa" w:w="200"/>
            </w:tcMar>
          </w:tcPr>
          <w:p>
            <w:pPr>
              <w:spacing w:after="40" w:before="40"/>
            </w:pPr>
            <w:r>
              <w:rPr>
                <w:rFonts w:ascii="Arial" w:cs="Arial" w:eastAsia="Arial" w:hAnsi="Arial"/>
                <w:color w:val="1A3A8A"/>
                <w:sz w:val="22"/>
                <w:szCs w:val="22"/>
              </w:rPr>
              <w:t xml:space="preserve">Módulo central. Gestiona la relación entre RA, criterios, UT, instrumentos y evidencias de evaluación.</w:t>
            </w:r>
          </w:p>
        </w:tc>
      </w:tr>
    </w:tbl>
    <w:p>
      <w:pPr>
        <w:spacing w:after="0" w:before="80"/>
      </w:pPr>
      <w:r>
        <w:t xml:space="preserve"/>
      </w:r>
    </w:p>
    <w:p>
      <w:pPr>
        <w:pStyle w:val="Heading3"/>
        <w:spacing w:after="80" w:before="200"/>
      </w:pPr>
      <w:r>
        <w:rPr>
          <w:rFonts w:ascii="Arial" w:cs="Arial" w:eastAsia="Arial" w:hAnsi="Arial"/>
          <w:b/>
          <w:bCs/>
          <w:color w:val="4A4A5E"/>
          <w:sz w:val="22"/>
          <w:szCs w:val="22"/>
        </w:rPr>
        <w:t xml:space="preserve">Editor de RA y criterios</w:t>
      </w:r>
    </w:p>
    <w:p>
      <w:pPr>
        <w:spacing w:after="80" w:before="60"/>
      </w:pPr>
      <w:r>
        <w:rPr>
          <w:rFonts w:ascii="Arial" w:cs="Arial" w:eastAsia="Arial" w:hAnsi="Arial"/>
          <w:b w:val="false"/>
          <w:bCs w:val="false"/>
          <w:i w:val="false"/>
          <w:iCs w:val="false"/>
          <w:color w:val="4A4A5E"/>
          <w:sz w:val="22"/>
          <w:szCs w:val="22"/>
        </w:rPr>
        <w:t xml:space="preserve">El docente introduce o importa los resultados de aprendizaje del módulo junto con sus criterios de evaluación. El sistema bloquea el envío a revisión si algún criterio no está asignado a ninguna unidad de trabajo.</w:t>
      </w:r>
    </w:p>
    <w:p>
      <w:pPr>
        <w:spacing w:after="0" w:before="60"/>
      </w:pPr>
      <w:r>
        <w:t xml:space="preserve"/>
      </w:r>
    </w:p>
    <w:p>
      <w:pPr>
        <w:pStyle w:val="Heading3"/>
        <w:spacing w:after="80" w:before="200"/>
      </w:pPr>
      <w:r>
        <w:rPr>
          <w:rFonts w:ascii="Arial" w:cs="Arial" w:eastAsia="Arial" w:hAnsi="Arial"/>
          <w:b/>
          <w:bCs/>
          <w:color w:val="4A4A5E"/>
          <w:sz w:val="22"/>
          <w:szCs w:val="22"/>
        </w:rPr>
        <w:t xml:space="preserve">Unidades de trabajo</w:t>
      </w:r>
    </w:p>
    <w:p>
      <w:pPr>
        <w:spacing w:after="80" w:before="60"/>
      </w:pPr>
      <w:r>
        <w:rPr>
          <w:rFonts w:ascii="Arial" w:cs="Arial" w:eastAsia="Arial" w:hAnsi="Arial"/>
          <w:b w:val="false"/>
          <w:bCs w:val="false"/>
          <w:i w:val="false"/>
          <w:iCs w:val="false"/>
          <w:color w:val="4A4A5E"/>
          <w:sz w:val="22"/>
          <w:szCs w:val="22"/>
        </w:rPr>
        <w:t xml:space="preserve">Cada UT recoge: criterios de evaluación que trabaja (relación N:N con CRITERIO), actividades planificadas, instrumentos de evaluación con su peso en la calificación del RA correspondiente, duración en horas y trimestre de impartición.</w:t>
      </w:r>
    </w:p>
    <w:p>
      <w:pPr>
        <w:spacing w:after="0" w:before="60"/>
      </w:pPr>
      <w:r>
        <w:t xml:space="preserve"/>
      </w:r>
    </w:p>
    <w:p>
      <w:pPr>
        <w:pStyle w:val="Heading3"/>
        <w:spacing w:after="80" w:before="200"/>
      </w:pPr>
      <w:r>
        <w:rPr>
          <w:rFonts w:ascii="Arial" w:cs="Arial" w:eastAsia="Arial" w:hAnsi="Arial"/>
          <w:b/>
          <w:bCs/>
          <w:color w:val="4A4A5E"/>
          <w:sz w:val="22"/>
          <w:szCs w:val="22"/>
        </w:rPr>
        <w:t xml:space="preserve">Criterios de calificación</w:t>
      </w:r>
    </w:p>
    <w:p>
      <w:pPr>
        <w:spacing w:after="80" w:before="60"/>
      </w:pPr>
      <w:r>
        <w:rPr>
          <w:rFonts w:ascii="Arial" w:cs="Arial" w:eastAsia="Arial" w:hAnsi="Arial"/>
          <w:b w:val="false"/>
          <w:bCs w:val="false"/>
          <w:i w:val="false"/>
          <w:iCs w:val="false"/>
          <w:color w:val="4A4A5E"/>
          <w:sz w:val="22"/>
          <w:szCs w:val="22"/>
        </w:rPr>
        <w:t xml:space="preserve">El docente distribuye el peso de cada RA en la nota final del módulo. El sistema verifica que la suma sea 100% y avisa si no lo es. También define la nota mínima por RA para superar el módulo y las condiciones de recuperación.</w:t>
      </w:r>
    </w:p>
    <w:p>
      <w:pPr>
        <w:spacing w:after="0" w:before="60"/>
      </w:pPr>
      <w:r>
        <w:t xml:space="preserve"/>
      </w:r>
    </w:p>
    <w:p>
      <w:pPr>
        <w:pStyle w:val="Heading3"/>
        <w:spacing w:after="80" w:before="200"/>
      </w:pPr>
      <w:r>
        <w:rPr>
          <w:rFonts w:ascii="Arial" w:cs="Arial" w:eastAsia="Arial" w:hAnsi="Arial"/>
          <w:b/>
          <w:bCs/>
          <w:color w:val="4A4A5E"/>
          <w:sz w:val="22"/>
          <w:szCs w:val="22"/>
        </w:rPr>
        <w:t xml:space="preserve">Generación automática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Tipo de generación</w:t>
            </w:r>
          </w:p>
        </w:tc>
        <w:tc>
          <w:tcPr>
            <w:tcW w:type="dxa" w:w="616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Secciones del índice normativo</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Automática (10 secciones)</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Portada · Marco normativo · Perfil profesional · Objetivos y RA · Competencias · Evaluación · Unidades de trabajo · Elementos transversales · Recursos · Temporalización</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Mixta (2 secciones)</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Contenidos y secuenciación · Atención a la diversidad</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Manual (5 secciones)</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Introducción · Metodología · Actividades · Tutoría · Conclusión · Bibliografía</w:t>
            </w:r>
          </w:p>
        </w:tc>
      </w:tr>
    </w:tbl>
    <w:p>
      <w:pPr>
        <w:spacing w:after="0" w:before="120"/>
      </w:pPr>
      <w:r>
        <w:t xml:space="preserve"/>
      </w:r>
    </w:p>
    <w:p>
      <w:pPr>
        <w:pStyle w:val="Heading2"/>
        <w:spacing w:after="120" w:before="280"/>
      </w:pPr>
      <w:r>
        <w:rPr>
          <w:rFonts w:ascii="Arial" w:cs="Arial" w:eastAsia="Arial" w:hAnsi="Arial"/>
          <w:b/>
          <w:bCs/>
          <w:color w:val="0D6E6E"/>
          <w:sz w:val="26"/>
          <w:szCs w:val="26"/>
        </w:rPr>
        <w:t xml:space="preserve">5.2 Transversalidad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CC" w:sz="1"/>
              <w:left w:val="single" w:color="DDDBCC" w:sz="1"/>
              <w:bottom w:val="single" w:color="DDDBCC" w:sz="1"/>
              <w:right w:val="single" w:color="DDDBCC" w:sz="1"/>
            </w:tcBorders>
            <w:shd w:fill="E3F5EC" w:val="clear"/>
            <w:tcMar>
              <w:top w:type="dxa" w:w="160"/>
              <w:left w:type="dxa" w:w="200"/>
              <w:bottom w:type="dxa" w:w="160"/>
              <w:right w:type="dxa" w:w="200"/>
            </w:tcMar>
          </w:tcPr>
          <w:p>
            <w:pPr>
              <w:spacing w:after="40" w:before="40"/>
            </w:pPr>
            <w:r>
              <w:rPr>
                <w:rFonts w:ascii="Arial" w:cs="Arial" w:eastAsia="Arial" w:hAnsi="Arial"/>
                <w:color w:val="1A7A4A"/>
                <w:sz w:val="22"/>
                <w:szCs w:val="22"/>
              </w:rPr>
              <w:t xml:space="preserve">Módulo de coordinación. Verifica la cobertura de elementos transversales en todos los módulos del ciclo.</w:t>
            </w:r>
          </w:p>
        </w:tc>
      </w:tr>
    </w:tbl>
    <w:p>
      <w:pPr>
        <w:spacing w:after="0" w:before="80"/>
      </w:pPr>
      <w:r>
        <w:t xml:space="preserve"/>
      </w:r>
    </w:p>
    <w:p>
      <w:pPr>
        <w:pStyle w:val="Heading3"/>
        <w:spacing w:after="80" w:before="200"/>
      </w:pPr>
      <w:r>
        <w:rPr>
          <w:rFonts w:ascii="Arial" w:cs="Arial" w:eastAsia="Arial" w:hAnsi="Arial"/>
          <w:b/>
          <w:bCs/>
          <w:color w:val="4A4A5E"/>
          <w:sz w:val="22"/>
          <w:szCs w:val="22"/>
        </w:rPr>
        <w:t xml:space="preserve">Elementos transversales verificados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Elemento transversal</w:t>
            </w:r>
          </w:p>
        </w:tc>
        <w:tc>
          <w:tcPr>
            <w:tcW w:type="dxa" w:w="536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Obligatoriedad normativa</w:t>
            </w:r>
          </w:p>
        </w:tc>
      </w:tr>
      <w:tr>
        <w:tc>
          <w:tcPr>
            <w:tcW w:type="dxa" w:w="40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Prevención de Riesgos Laborales (PRL)</w:t>
            </w:r>
          </w:p>
        </w:tc>
        <w:tc>
          <w:tcPr>
            <w:tcW w:type="dxa" w:w="53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Obligatoria en todos los módulos del ciclo (LOMLOE)</w:t>
            </w:r>
          </w:p>
        </w:tc>
      </w:tr>
      <w:tr>
        <w:tc>
          <w:tcPr>
            <w:tcW w:type="dxa" w:w="40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Digitalización aplicada al sector productivo</w:t>
            </w:r>
          </w:p>
        </w:tc>
        <w:tc>
          <w:tcPr>
            <w:tcW w:type="dxa" w:w="53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Obligatoria. Módulo específico DJK más cobertura transversal</w:t>
            </w:r>
          </w:p>
        </w:tc>
      </w:tr>
      <w:tr>
        <w:tc>
          <w:tcPr>
            <w:tcW w:type="dxa" w:w="40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Sostenibilidad y medio ambiente</w:t>
            </w:r>
          </w:p>
        </w:tc>
        <w:tc>
          <w:tcPr>
            <w:tcW w:type="dxa" w:w="53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Obligatoria. Actividades con impacto ambiental explícito</w:t>
            </w:r>
          </w:p>
        </w:tc>
      </w:tr>
      <w:tr>
        <w:tc>
          <w:tcPr>
            <w:tcW w:type="dxa" w:w="40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Igualdad, diversidad e inclusión</w:t>
            </w:r>
          </w:p>
        </w:tc>
        <w:tc>
          <w:tcPr>
            <w:tcW w:type="dxa" w:w="53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Obligatoria en todos los módulos del ciclo</w:t>
            </w:r>
          </w:p>
        </w:tc>
      </w:tr>
      <w:tr>
        <w:tc>
          <w:tcPr>
            <w:tcW w:type="dxa" w:w="40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Emprendimiento e iniciativa</w:t>
            </w:r>
          </w:p>
        </w:tc>
        <w:tc>
          <w:tcPr>
            <w:tcW w:type="dxa" w:w="53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Obligatoria. Reforzada por módulo Empresa e iniciativa emprendedora</w:t>
            </w:r>
          </w:p>
        </w:tc>
      </w:tr>
    </w:tbl>
    <w:p>
      <w:pPr>
        <w:spacing w:after="0" w:before="80"/>
      </w:pPr>
      <w:r>
        <w:t xml:space="preserve"/>
      </w:r>
    </w:p>
    <w:p>
      <w:pPr>
        <w:pStyle w:val="Heading3"/>
        <w:spacing w:after="80" w:before="200"/>
      </w:pPr>
      <w:r>
        <w:rPr>
          <w:rFonts w:ascii="Arial" w:cs="Arial" w:eastAsia="Arial" w:hAnsi="Arial"/>
          <w:b/>
          <w:bCs/>
          <w:color w:val="4A4A5E"/>
          <w:sz w:val="22"/>
          <w:szCs w:val="22"/>
        </w:rPr>
        <w:t xml:space="preserve">Sistema de alertas</w:t>
      </w:r>
    </w:p>
    <w:p>
      <w:pPr>
        <w:spacing w:after="80" w:before="60"/>
      </w:pPr>
      <w:r>
        <w:rPr>
          <w:rFonts w:ascii="Arial" w:cs="Arial" w:eastAsia="Arial" w:hAnsi="Arial"/>
          <w:b w:val="false"/>
          <w:bCs w:val="false"/>
          <w:i w:val="false"/>
          <w:iCs w:val="false"/>
          <w:color w:val="4A4A5E"/>
          <w:sz w:val="22"/>
          <w:szCs w:val="22"/>
        </w:rPr>
        <w:t xml:space="preserve">El sistema clasifica las alertas en tres niveles de severidad:</w:t>
      </w:r>
    </w:p>
    <w:p>
      <w:pPr>
        <w:pStyle w:val="ListParagraph"/>
        <w:numPr>
          <w:ilvl w:val="0"/>
          <w:numId w:val="2"/>
        </w:numPr>
        <w:spacing w:after="40" w:before="40"/>
      </w:pPr>
      <w:r>
        <w:rPr>
          <w:rFonts w:ascii="Arial" w:cs="Arial" w:eastAsia="Arial" w:hAnsi="Arial"/>
          <w:color w:val="4A4A5E"/>
          <w:sz w:val="22"/>
          <w:szCs w:val="22"/>
        </w:rPr>
        <w:t xml:space="preserve">Alta: incumplimiento normativo directo (PRL e Igualdad son obligatorias en todos los módulos). Bloquea la publicación del curso.</w:t>
      </w:r>
    </w:p>
    <w:p>
      <w:pPr>
        <w:pStyle w:val="ListParagraph"/>
        <w:numPr>
          <w:ilvl w:val="0"/>
          <w:numId w:val="2"/>
        </w:numPr>
        <w:spacing w:after="40" w:before="40"/>
      </w:pPr>
      <w:r>
        <w:rPr>
          <w:rFonts w:ascii="Arial" w:cs="Arial" w:eastAsia="Arial" w:hAnsi="Arial"/>
          <w:color w:val="4A4A5E"/>
          <w:sz w:val="22"/>
          <w:szCs w:val="22"/>
        </w:rPr>
        <w:t xml:space="preserve">Media: cobertura declarada en los bloques de contenidos pero sin actividad ni instrumento de evaluación vinculado en ninguna UT.</w:t>
      </w:r>
    </w:p>
    <w:p>
      <w:pPr>
        <w:pStyle w:val="ListParagraph"/>
        <w:numPr>
          <w:ilvl w:val="0"/>
          <w:numId w:val="2"/>
        </w:numPr>
        <w:spacing w:after="40" w:before="40"/>
      </w:pPr>
      <w:r>
        <w:rPr>
          <w:rFonts w:ascii="Arial" w:cs="Arial" w:eastAsia="Arial" w:hAnsi="Arial"/>
          <w:color w:val="4A4A5E"/>
          <w:sz w:val="22"/>
          <w:szCs w:val="22"/>
        </w:rPr>
        <w:t xml:space="preserve">Baja: vacío que puede resolverse con un ajuste menor en una UT existente.</w:t>
      </w:r>
    </w:p>
    <w:p>
      <w:pPr>
        <w:spacing w:after="0" w:before="80"/>
      </w:pPr>
      <w:r>
        <w:t xml:space="preserve"/>
      </w:r>
    </w:p>
    <w:p>
      <w:pPr>
        <w:spacing w:after="80" w:before="60"/>
      </w:pPr>
      <w:r>
        <w:rPr>
          <w:rFonts w:ascii="Arial" w:cs="Arial" w:eastAsia="Arial" w:hAnsi="Arial"/>
          <w:b w:val="false"/>
          <w:bCs w:val="false"/>
          <w:i w:val="false"/>
          <w:iCs w:val="false"/>
          <w:color w:val="4A4A5E"/>
          <w:sz w:val="22"/>
          <w:szCs w:val="22"/>
        </w:rPr>
        <w:t xml:space="preserve">El mapa de cobertura es visible exclusivamente para el jefe de departamento, que puede proponer actividades conjuntas o intermodulares para resolver vacíos de forma coordinada en lugar de pedir a cada docente que lo resuelva de forma independiente.</w:t>
      </w:r>
    </w:p>
    <w:p>
      <w:pPr>
        <w:spacing w:after="0" w:before="120"/>
      </w:pPr>
      <w:r>
        <w:t xml:space="preserve"/>
      </w:r>
    </w:p>
    <w:p>
      <w:pPr>
        <w:pStyle w:val="Heading2"/>
        <w:spacing w:after="120" w:before="280"/>
      </w:pPr>
      <w:r>
        <w:rPr>
          <w:rFonts w:ascii="Arial" w:cs="Arial" w:eastAsia="Arial" w:hAnsi="Arial"/>
          <w:b/>
          <w:bCs/>
          <w:color w:val="0D6E6E"/>
          <w:sz w:val="26"/>
          <w:szCs w:val="26"/>
        </w:rPr>
        <w:t xml:space="preserve">5.3 Coordinación de Departamento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CC" w:sz="1"/>
              <w:left w:val="single" w:color="DDDBCC" w:sz="1"/>
              <w:bottom w:val="single" w:color="DDDBCC" w:sz="1"/>
              <w:right w:val="single" w:color="DDDBCC" w:sz="1"/>
            </w:tcBorders>
            <w:shd w:fill="FEF3E2" w:val="clear"/>
            <w:tcMar>
              <w:top w:type="dxa" w:w="160"/>
              <w:left w:type="dxa" w:w="200"/>
              <w:bottom w:type="dxa" w:w="160"/>
              <w:right w:type="dxa" w:w="200"/>
            </w:tcMar>
          </w:tcPr>
          <w:p>
            <w:pPr>
              <w:spacing w:after="40" w:before="40"/>
            </w:pPr>
            <w:r>
              <w:rPr>
                <w:rFonts w:ascii="Arial" w:cs="Arial" w:eastAsia="Arial" w:hAnsi="Arial"/>
                <w:color w:val="C47C1A"/>
                <w:sz w:val="22"/>
                <w:szCs w:val="22"/>
              </w:rPr>
              <w:t xml:space="preserve">Panel de control global del jefe. Confluencia de todos los módulos del sistema.</w:t>
            </w:r>
          </w:p>
        </w:tc>
      </w:tr>
    </w:tbl>
    <w:p>
      <w:pPr>
        <w:spacing w:after="0" w:before="80"/>
      </w:pPr>
      <w:r>
        <w:t xml:space="preserve"/>
      </w:r>
    </w:p>
    <w:p>
      <w:pPr>
        <w:pStyle w:val="Heading3"/>
        <w:spacing w:after="80" w:before="200"/>
      </w:pPr>
      <w:r>
        <w:rPr>
          <w:rFonts w:ascii="Arial" w:cs="Arial" w:eastAsia="Arial" w:hAnsi="Arial"/>
          <w:b/>
          <w:bCs/>
          <w:color w:val="4A4A5E"/>
          <w:sz w:val="22"/>
          <w:szCs w:val="22"/>
        </w:rPr>
        <w:t xml:space="preserve">Panel de estado</w:t>
      </w:r>
    </w:p>
    <w:p>
      <w:pPr>
        <w:spacing w:after="80" w:before="60"/>
      </w:pPr>
      <w:r>
        <w:rPr>
          <w:rFonts w:ascii="Arial" w:cs="Arial" w:eastAsia="Arial" w:hAnsi="Arial"/>
          <w:b w:val="false"/>
          <w:bCs w:val="false"/>
          <w:i w:val="false"/>
          <w:iCs w:val="false"/>
          <w:color w:val="4A4A5E"/>
          <w:sz w:val="22"/>
          <w:szCs w:val="22"/>
        </w:rPr>
        <w:t xml:space="preserve">El jefe accede a métricas en tiempo real: número de programaciones por estado, alertas transversales activas y progreso del proyecto intermodular. Un feed de actividad reciente muestra los últimos eventos (envíos, aprobaciones, cambios) con acceso directo a la acción correspondiente.</w:t>
      </w:r>
    </w:p>
    <w:p>
      <w:pPr>
        <w:spacing w:after="0" w:before="60"/>
      </w:pPr>
      <w:r>
        <w:t xml:space="preserve"/>
      </w:r>
    </w:p>
    <w:p>
      <w:pPr>
        <w:pStyle w:val="Heading3"/>
        <w:spacing w:after="80" w:before="200"/>
      </w:pPr>
      <w:r>
        <w:rPr>
          <w:rFonts w:ascii="Arial" w:cs="Arial" w:eastAsia="Arial" w:hAnsi="Arial"/>
          <w:b/>
          <w:bCs/>
          <w:color w:val="4A4A5E"/>
          <w:sz w:val="22"/>
          <w:szCs w:val="22"/>
        </w:rPr>
        <w:t xml:space="preserve">Proyecto intermodular</w:t>
      </w:r>
    </w:p>
    <w:p>
      <w:pPr>
        <w:spacing w:after="80" w:before="60"/>
      </w:pPr>
      <w:r>
        <w:rPr>
          <w:rFonts w:ascii="Arial" w:cs="Arial" w:eastAsia="Arial" w:hAnsi="Arial"/>
          <w:b w:val="false"/>
          <w:bCs w:val="false"/>
          <w:i w:val="false"/>
          <w:iCs w:val="false"/>
          <w:color w:val="4A4A5E"/>
          <w:sz w:val="22"/>
          <w:szCs w:val="22"/>
        </w:rPr>
        <w:t xml:space="preserve">El jefe define el proyecto intermodular del ciclo: qué módulos participan, qué RA aporta cada uno, la distribución horaria y el mecanismo de evaluación conjunta. El sistema distribuye la calificación del proyecto a cada módulo participante según el peso de los RA que aportó.</w:t>
      </w:r>
    </w:p>
    <w:p>
      <w:pPr>
        <w:spacing w:after="0" w:before="60"/>
      </w:pPr>
      <w:r>
        <w:t xml:space="preserve"/>
      </w:r>
    </w:p>
    <w:p>
      <w:pPr>
        <w:pStyle w:val="Heading3"/>
        <w:spacing w:after="80" w:before="200"/>
      </w:pPr>
      <w:r>
        <w:rPr>
          <w:rFonts w:ascii="Arial" w:cs="Arial" w:eastAsia="Arial" w:hAnsi="Arial"/>
          <w:b/>
          <w:bCs/>
          <w:color w:val="4A4A5E"/>
          <w:sz w:val="22"/>
          <w:szCs w:val="22"/>
        </w:rPr>
        <w:t xml:space="preserve">Checklist y publicación</w:t>
      </w:r>
    </w:p>
    <w:p>
      <w:pPr>
        <w:spacing w:after="80" w:before="60"/>
      </w:pPr>
      <w:r>
        <w:rPr>
          <w:rFonts w:ascii="Arial" w:cs="Arial" w:eastAsia="Arial" w:hAnsi="Arial"/>
          <w:b w:val="false"/>
          <w:bCs w:val="false"/>
          <w:i w:val="false"/>
          <w:iCs w:val="false"/>
          <w:color w:val="4A4A5E"/>
          <w:sz w:val="22"/>
          <w:szCs w:val="22"/>
        </w:rPr>
        <w:t xml:space="preserve">El botón de publicación solo se activa cuando todas las condiciones del checklist están satisfechas. La publicación genera el PDF completo de la Programación Didáctica (17 secciones), activa el acceso del alumnado a sus programaciones y registra el punto de partida para la trazabilidad del curso.</w:t>
      </w:r>
    </w:p>
    <w:p>
      <w:r>
        <w:br w:type="page"/>
      </w:r>
    </w:p>
    <w:p>
      <w:pPr>
        <w:pStyle w:val="Heading1"/>
        <w:spacing w:after="160" w:before="400"/>
      </w:pPr>
      <w:r>
        <w:rPr>
          <w:rFonts w:ascii="Arial" w:cs="Arial" w:eastAsia="Arial" w:hAnsi="Arial"/>
          <w:b/>
          <w:bCs/>
          <w:color w:val="1A1A24"/>
          <w:sz w:val="32"/>
          <w:szCs w:val="32"/>
        </w:rPr>
        <w:t xml:space="preserve">6. Diseño de interfaz</w:t>
      </w:r>
    </w:p>
    <w:p>
      <w:pPr>
        <w:spacing w:after="80" w:before="60"/>
      </w:pPr>
      <w:r>
        <w:rPr>
          <w:rFonts w:ascii="Arial" w:cs="Arial" w:eastAsia="Arial" w:hAnsi="Arial"/>
          <w:b w:val="false"/>
          <w:bCs w:val="false"/>
          <w:i w:val="false"/>
          <w:iCs w:val="false"/>
          <w:color w:val="4A4A5E"/>
          <w:sz w:val="22"/>
          <w:szCs w:val="22"/>
        </w:rPr>
        <w:t xml:space="preserve">La interfaz de FPdoc sigue un diseño institucional refinado: limpio, sobrio y eficiente. El nombre de la aplicación, FPdoc, aparece en tipografía serif en la barra de navegación, acompañado del selector de rol activo.</w:t>
      </w:r>
    </w:p>
    <w:p>
      <w:pPr>
        <w:spacing w:after="0" w:before="80"/>
      </w:pPr>
      <w:r>
        <w:t xml:space="preserve"/>
      </w:r>
    </w:p>
    <w:p>
      <w:pPr>
        <w:pStyle w:val="Heading2"/>
        <w:spacing w:after="120" w:before="280"/>
      </w:pPr>
      <w:r>
        <w:rPr>
          <w:rFonts w:ascii="Arial" w:cs="Arial" w:eastAsia="Arial" w:hAnsi="Arial"/>
          <w:b/>
          <w:bCs/>
          <w:color w:val="0D6E6E"/>
          <w:sz w:val="26"/>
          <w:szCs w:val="26"/>
        </w:rPr>
        <w:t xml:space="preserve">6.1 Sistema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Elemento</w:t>
            </w:r>
          </w:p>
        </w:tc>
        <w:tc>
          <w:tcPr>
            <w:tcW w:type="dxa" w:w="616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Especificación</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Tipografía principal</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DM Sans (400 / 500 / 600)</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Tipografía display</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DM Serif Display (logotipo y encabezados de página)</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Color de fondo base</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#F4F3EF (crema cálido)</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Color de acento principal</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#0D6E6E (teal) — estados positivos y navegación activa</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Color de alerta media</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#C47C1A (ámbar) — atención sin bloqueo</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Color de alerta alta</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#C0392B (rojo) — incumplimiento normativo</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Color de estructura</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#1A1A24 (tinta oscura) — navbar y texto principal</w:t>
            </w:r>
          </w:p>
        </w:tc>
      </w:tr>
    </w:tbl>
    <w:p>
      <w:pPr>
        <w:spacing w:after="0" w:before="120"/>
      </w:pPr>
      <w:r>
        <w:t xml:space="preserve"/>
      </w:r>
    </w:p>
    <w:p>
      <w:pPr>
        <w:pStyle w:val="Heading2"/>
        <w:spacing w:after="120" w:before="280"/>
      </w:pPr>
      <w:r>
        <w:rPr>
          <w:rFonts w:ascii="Arial" w:cs="Arial" w:eastAsia="Arial" w:hAnsi="Arial"/>
          <w:b/>
          <w:bCs/>
          <w:color w:val="0D6E6E"/>
          <w:sz w:val="26"/>
          <w:szCs w:val="26"/>
        </w:rPr>
        <w:t xml:space="preserve">6.2 Estructura de pantallas</w:t>
      </w:r>
    </w:p>
    <w:p>
      <w:pPr>
        <w:spacing w:after="80" w:before="60"/>
      </w:pPr>
      <w:r>
        <w:rPr>
          <w:rFonts w:ascii="Arial" w:cs="Arial" w:eastAsia="Arial" w:hAnsi="Arial"/>
          <w:b w:val="false"/>
          <w:bCs w:val="false"/>
          <w:i w:val="false"/>
          <w:iCs w:val="false"/>
          <w:color w:val="4A4A5E"/>
          <w:sz w:val="22"/>
          <w:szCs w:val="22"/>
        </w:rPr>
        <w:t xml:space="preserve">Cada rol accede a una interfaz diferenciada. La estructura base es constante: barra de navegación superior con selector de rol, sidebar lateral con menú contextual y área principal con contenido de la sección activa.</w:t>
      </w:r>
    </w:p>
    <w:p>
      <w:pPr>
        <w:spacing w:after="0" w:before="60"/>
      </w:pPr>
      <w:r>
        <w:t xml:space="preserve"/>
      </w:r>
    </w:p>
    <w:p>
      <w:pPr>
        <w:pStyle w:val="Heading3"/>
        <w:spacing w:after="80" w:before="200"/>
      </w:pPr>
      <w:r>
        <w:rPr>
          <w:rFonts w:ascii="Arial" w:cs="Arial" w:eastAsia="Arial" w:hAnsi="Arial"/>
          <w:b/>
          <w:bCs/>
          <w:color w:val="4A4A5E"/>
          <w:sz w:val="22"/>
          <w:szCs w:val="22"/>
        </w:rPr>
        <w:t xml:space="preserve">Pantallas del Jefe de Departamento</w:t>
      </w:r>
    </w:p>
    <w:p>
      <w:pPr>
        <w:pStyle w:val="ListParagraph"/>
        <w:numPr>
          <w:ilvl w:val="0"/>
          <w:numId w:val="2"/>
        </w:numPr>
        <w:spacing w:after="40" w:before="40"/>
      </w:pPr>
      <w:r>
        <w:rPr>
          <w:rFonts w:ascii="Arial" w:cs="Arial" w:eastAsia="Arial" w:hAnsi="Arial"/>
          <w:color w:val="4A4A5E"/>
          <w:sz w:val="22"/>
          <w:szCs w:val="22"/>
        </w:rPr>
        <w:t xml:space="preserve">Panel general: métricas del ciclo, estado de programaciones y alertas activas</w:t>
      </w:r>
    </w:p>
    <w:p>
      <w:pPr>
        <w:pStyle w:val="ListParagraph"/>
        <w:numPr>
          <w:ilvl w:val="0"/>
          <w:numId w:val="2"/>
        </w:numPr>
        <w:spacing w:after="40" w:before="40"/>
      </w:pPr>
      <w:r>
        <w:rPr>
          <w:rFonts w:ascii="Arial" w:cs="Arial" w:eastAsia="Arial" w:hAnsi="Arial"/>
          <w:color w:val="4A4A5E"/>
          <w:sz w:val="22"/>
          <w:szCs w:val="22"/>
        </w:rPr>
        <w:t xml:space="preserve">Estado de programaciones: revisión individual con historial de cambios</w:t>
      </w:r>
    </w:p>
    <w:p>
      <w:pPr>
        <w:pStyle w:val="ListParagraph"/>
        <w:numPr>
          <w:ilvl w:val="0"/>
          <w:numId w:val="2"/>
        </w:numPr>
        <w:spacing w:after="40" w:before="40"/>
      </w:pPr>
      <w:r>
        <w:rPr>
          <w:rFonts w:ascii="Arial" w:cs="Arial" w:eastAsia="Arial" w:hAnsi="Arial"/>
          <w:color w:val="4A4A5E"/>
          <w:sz w:val="22"/>
          <w:szCs w:val="22"/>
        </w:rPr>
        <w:t xml:space="preserve">Mapa de transversalidad: tabla de cobertura por módulo y elemento</w:t>
      </w:r>
    </w:p>
    <w:p>
      <w:pPr>
        <w:pStyle w:val="ListParagraph"/>
        <w:numPr>
          <w:ilvl w:val="0"/>
          <w:numId w:val="2"/>
        </w:numPr>
        <w:spacing w:after="40" w:before="40"/>
      </w:pPr>
      <w:r>
        <w:rPr>
          <w:rFonts w:ascii="Arial" w:cs="Arial" w:eastAsia="Arial" w:hAnsi="Arial"/>
          <w:color w:val="4A4A5E"/>
          <w:sz w:val="22"/>
          <w:szCs w:val="22"/>
        </w:rPr>
        <w:t xml:space="preserve">Proyecto intermodular: definición, participantes y seguimiento de progreso</w:t>
      </w:r>
    </w:p>
    <w:p>
      <w:pPr>
        <w:pStyle w:val="ListParagraph"/>
        <w:numPr>
          <w:ilvl w:val="0"/>
          <w:numId w:val="2"/>
        </w:numPr>
        <w:spacing w:after="40" w:before="40"/>
      </w:pPr>
      <w:r>
        <w:rPr>
          <w:rFonts w:ascii="Arial" w:cs="Arial" w:eastAsia="Arial" w:hAnsi="Arial"/>
          <w:color w:val="4A4A5E"/>
          <w:sz w:val="22"/>
          <w:szCs w:val="22"/>
        </w:rPr>
        <w:t xml:space="preserve">Publicación: checklist con condiciones y botón de publicar</w:t>
      </w:r>
    </w:p>
    <w:p>
      <w:pPr>
        <w:spacing w:after="0" w:before="80"/>
      </w:pPr>
      <w:r>
        <w:t xml:space="preserve"/>
      </w:r>
    </w:p>
    <w:p>
      <w:pPr>
        <w:pStyle w:val="Heading3"/>
        <w:spacing w:after="80" w:before="200"/>
      </w:pPr>
      <w:r>
        <w:rPr>
          <w:rFonts w:ascii="Arial" w:cs="Arial" w:eastAsia="Arial" w:hAnsi="Arial"/>
          <w:b/>
          <w:bCs/>
          <w:color w:val="4A4A5E"/>
          <w:sz w:val="22"/>
          <w:szCs w:val="22"/>
        </w:rPr>
        <w:t xml:space="preserve">Pantallas del Profesorado</w:t>
      </w:r>
    </w:p>
    <w:p>
      <w:pPr>
        <w:pStyle w:val="ListParagraph"/>
        <w:numPr>
          <w:ilvl w:val="0"/>
          <w:numId w:val="2"/>
        </w:numPr>
        <w:spacing w:after="40" w:before="40"/>
      </w:pPr>
      <w:r>
        <w:rPr>
          <w:rFonts w:ascii="Arial" w:cs="Arial" w:eastAsia="Arial" w:hAnsi="Arial"/>
          <w:color w:val="4A4A5E"/>
          <w:sz w:val="22"/>
          <w:szCs w:val="22"/>
        </w:rPr>
        <w:t xml:space="preserve">Panel del módulo: estado de la programación, cobertura de RA y actividad reciente</w:t>
      </w:r>
    </w:p>
    <w:p>
      <w:pPr>
        <w:pStyle w:val="ListParagraph"/>
        <w:numPr>
          <w:ilvl w:val="0"/>
          <w:numId w:val="2"/>
        </w:numPr>
        <w:spacing w:after="40" w:before="40"/>
      </w:pPr>
      <w:r>
        <w:rPr>
          <w:rFonts w:ascii="Arial" w:cs="Arial" w:eastAsia="Arial" w:hAnsi="Arial"/>
          <w:color w:val="4A4A5E"/>
          <w:sz w:val="22"/>
          <w:szCs w:val="22"/>
        </w:rPr>
        <w:t xml:space="preserve">RA y criterios: lista expandible de RA con criterios asignados a UT</w:t>
      </w:r>
    </w:p>
    <w:p>
      <w:pPr>
        <w:pStyle w:val="ListParagraph"/>
        <w:numPr>
          <w:ilvl w:val="0"/>
          <w:numId w:val="2"/>
        </w:numPr>
        <w:spacing w:after="40" w:before="40"/>
      </w:pPr>
      <w:r>
        <w:rPr>
          <w:rFonts w:ascii="Arial" w:cs="Arial" w:eastAsia="Arial" w:hAnsi="Arial"/>
          <w:color w:val="4A4A5E"/>
          <w:sz w:val="22"/>
          <w:szCs w:val="22"/>
        </w:rPr>
        <w:t xml:space="preserve">Unidades de trabajo: creación y edición de UT con actividades e instrumentos</w:t>
      </w:r>
    </w:p>
    <w:p>
      <w:pPr>
        <w:pStyle w:val="ListParagraph"/>
        <w:numPr>
          <w:ilvl w:val="0"/>
          <w:numId w:val="2"/>
        </w:numPr>
        <w:spacing w:after="40" w:before="40"/>
      </w:pPr>
      <w:r>
        <w:rPr>
          <w:rFonts w:ascii="Arial" w:cs="Arial" w:eastAsia="Arial" w:hAnsi="Arial"/>
          <w:color w:val="4A4A5E"/>
          <w:sz w:val="22"/>
          <w:szCs w:val="22"/>
        </w:rPr>
        <w:t xml:space="preserve">Evaluación: distribución de calificación por RA con verificación de suma 100%</w:t>
      </w:r>
    </w:p>
    <w:p>
      <w:pPr>
        <w:pStyle w:val="ListParagraph"/>
        <w:numPr>
          <w:ilvl w:val="0"/>
          <w:numId w:val="2"/>
        </w:numPr>
        <w:spacing w:after="40" w:before="40"/>
      </w:pPr>
      <w:r>
        <w:rPr>
          <w:rFonts w:ascii="Arial" w:cs="Arial" w:eastAsia="Arial" w:hAnsi="Arial"/>
          <w:color w:val="4A4A5E"/>
          <w:sz w:val="22"/>
          <w:szCs w:val="22"/>
        </w:rPr>
        <w:t xml:space="preserve">Vista previa y envío a revisión</w:t>
      </w:r>
    </w:p>
    <w:p>
      <w:pPr>
        <w:spacing w:after="0" w:before="80"/>
      </w:pPr>
      <w:r>
        <w:t xml:space="preserve"/>
      </w:r>
    </w:p>
    <w:p>
      <w:pPr>
        <w:pStyle w:val="Heading3"/>
        <w:spacing w:after="80" w:before="200"/>
      </w:pPr>
      <w:r>
        <w:rPr>
          <w:rFonts w:ascii="Arial" w:cs="Arial" w:eastAsia="Arial" w:hAnsi="Arial"/>
          <w:b/>
          <w:bCs/>
          <w:color w:val="4A4A5E"/>
          <w:sz w:val="22"/>
          <w:szCs w:val="22"/>
        </w:rPr>
        <w:t xml:space="preserve">Pantallas del Alumnado</w:t>
      </w:r>
    </w:p>
    <w:p>
      <w:pPr>
        <w:pStyle w:val="ListParagraph"/>
        <w:numPr>
          <w:ilvl w:val="0"/>
          <w:numId w:val="2"/>
        </w:numPr>
        <w:spacing w:after="40" w:before="40"/>
      </w:pPr>
      <w:r>
        <w:rPr>
          <w:rFonts w:ascii="Arial" w:cs="Arial" w:eastAsia="Arial" w:hAnsi="Arial"/>
          <w:color w:val="4A4A5E"/>
          <w:sz w:val="22"/>
          <w:szCs w:val="22"/>
        </w:rPr>
        <w:t xml:space="preserve">Inicio: módulos activos con progreso y proyecto intermodular</w:t>
      </w:r>
    </w:p>
    <w:p>
      <w:pPr>
        <w:pStyle w:val="ListParagraph"/>
        <w:numPr>
          <w:ilvl w:val="0"/>
          <w:numId w:val="2"/>
        </w:numPr>
        <w:spacing w:after="40" w:before="40"/>
      </w:pPr>
      <w:r>
        <w:rPr>
          <w:rFonts w:ascii="Arial" w:cs="Arial" w:eastAsia="Arial" w:hAnsi="Arial"/>
          <w:color w:val="4A4A5E"/>
          <w:sz w:val="22"/>
          <w:szCs w:val="22"/>
        </w:rPr>
        <w:t xml:space="preserve">Mis módulos: acceso a programaciones y criterios de evaluación</w:t>
      </w:r>
    </w:p>
    <w:p>
      <w:pPr>
        <w:pStyle w:val="ListParagraph"/>
        <w:numPr>
          <w:ilvl w:val="0"/>
          <w:numId w:val="2"/>
        </w:numPr>
        <w:spacing w:after="40" w:before="40"/>
      </w:pPr>
      <w:r>
        <w:rPr>
          <w:rFonts w:ascii="Arial" w:cs="Arial" w:eastAsia="Arial" w:hAnsi="Arial"/>
          <w:color w:val="4A4A5E"/>
          <w:sz w:val="22"/>
          <w:szCs w:val="22"/>
        </w:rPr>
        <w:t xml:space="preserve">Mis RA: seguimiento de resultados de aprendizaje trabajados</w:t>
      </w:r>
    </w:p>
    <w:p>
      <w:pPr>
        <w:pStyle w:val="ListParagraph"/>
        <w:numPr>
          <w:ilvl w:val="0"/>
          <w:numId w:val="2"/>
        </w:numPr>
        <w:spacing w:after="40" w:before="40"/>
      </w:pPr>
      <w:r>
        <w:rPr>
          <w:rFonts w:ascii="Arial" w:cs="Arial" w:eastAsia="Arial" w:hAnsi="Arial"/>
          <w:color w:val="4A4A5E"/>
          <w:sz w:val="22"/>
          <w:szCs w:val="22"/>
        </w:rPr>
        <w:t xml:space="preserve">FCT: datos de empresa, plan de prácticas e itinerario ITK</w:t>
      </w:r>
    </w:p>
    <w:p>
      <w:r>
        <w:br w:type="page"/>
      </w:r>
    </w:p>
    <w:p>
      <w:pPr>
        <w:pStyle w:val="Heading1"/>
        <w:spacing w:after="160" w:before="400"/>
      </w:pPr>
      <w:r>
        <w:rPr>
          <w:rFonts w:ascii="Arial" w:cs="Arial" w:eastAsia="Arial" w:hAnsi="Arial"/>
          <w:b/>
          <w:bCs/>
          <w:color w:val="1A1A24"/>
          <w:sz w:val="32"/>
          <w:szCs w:val="32"/>
        </w:rPr>
        <w:t xml:space="preserve">7. Stack tecnológico</w:t>
      </w:r>
    </w:p>
    <w:p>
      <w:pPr>
        <w:spacing w:after="80" w:before="60"/>
      </w:pPr>
      <w:r>
        <w:rPr>
          <w:rFonts w:ascii="Arial" w:cs="Arial" w:eastAsia="Arial" w:hAnsi="Arial"/>
          <w:b w:val="false"/>
          <w:bCs w:val="false"/>
          <w:i w:val="false"/>
          <w:iCs w:val="false"/>
          <w:color w:val="4A4A5E"/>
          <w:sz w:val="22"/>
          <w:szCs w:val="22"/>
        </w:rPr>
        <w:t xml:space="preserve">El stack está seleccionado para máxima productividad con un equipo de 1–3 desarrolladores, con tecnologías maduras, documentación extensa y despliegue sencillo en infraestructura educativa.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DDBCC" w:sz="1"/>
              <w:left w:val="single" w:color="DDDBCC" w:sz="1"/>
              <w:bottom w:val="single" w:color="DDDBCC" w:sz="1"/>
              <w:right w:val="single" w:color="DDDBCC" w:sz="1"/>
            </w:tcBorders>
            <w:shd w:fill="F4F3EF" w:val="clear"/>
            <w:tcMar>
              <w:top w:type="dxa" w:w="100"/>
              <w:left w:type="dxa" w:w="120"/>
              <w:bottom w:type="dxa" w:w="100"/>
              <w:right w:type="dxa" w:w="120"/>
            </w:tcMar>
          </w:tcPr>
          <w:p>
            <w:r>
              <w:rPr>
                <w:rFonts w:ascii="Arial" w:cs="Arial" w:eastAsia="Arial" w:hAnsi="Arial"/>
                <w:b/>
                <w:bCs/>
                <w:color w:val="1A1A24"/>
                <w:sz w:val="20"/>
                <w:szCs w:val="20"/>
              </w:rPr>
              <w:t xml:space="preserve">Capa</w:t>
            </w:r>
          </w:p>
        </w:tc>
        <w:tc>
          <w:tcPr>
            <w:tcW w:type="dxa" w:w="4160"/>
            <w:tcBorders>
              <w:top w:val="single" w:color="DDDBCC" w:sz="1"/>
              <w:left w:val="single" w:color="DDDBCC" w:sz="1"/>
              <w:bottom w:val="single" w:color="DDDBCC" w:sz="1"/>
              <w:right w:val="single" w:color="DDDBCC" w:sz="1"/>
            </w:tcBorders>
            <w:shd w:fill="F4F3EF" w:val="clear"/>
            <w:tcMar>
              <w:top w:type="dxa" w:w="100"/>
              <w:left w:type="dxa" w:w="120"/>
              <w:bottom w:type="dxa" w:w="100"/>
              <w:right w:type="dxa" w:w="120"/>
            </w:tcMar>
          </w:tcPr>
          <w:p>
            <w:r>
              <w:rPr>
                <w:rFonts w:ascii="Arial" w:cs="Arial" w:eastAsia="Arial" w:hAnsi="Arial"/>
                <w:b/>
                <w:bCs/>
                <w:color w:val="1A1A24"/>
                <w:sz w:val="20"/>
                <w:szCs w:val="20"/>
              </w:rPr>
              <w:t xml:space="preserve">Tecnología</w:t>
            </w:r>
          </w:p>
        </w:tc>
        <w:tc>
          <w:tcPr>
            <w:tcW w:type="dxa" w:w="3000"/>
            <w:tcBorders>
              <w:top w:val="single" w:color="DDDBCC" w:sz="1"/>
              <w:left w:val="single" w:color="DDDBCC" w:sz="1"/>
              <w:bottom w:val="single" w:color="DDDBCC" w:sz="1"/>
              <w:right w:val="single" w:color="DDDBCC" w:sz="1"/>
            </w:tcBorders>
            <w:shd w:fill="F4F3EF" w:val="clear"/>
            <w:tcMar>
              <w:top w:type="dxa" w:w="100"/>
              <w:left w:type="dxa" w:w="120"/>
              <w:bottom w:type="dxa" w:w="100"/>
              <w:right w:type="dxa" w:w="120"/>
            </w:tcMar>
          </w:tcPr>
          <w:p>
            <w:r>
              <w:rPr>
                <w:rFonts w:ascii="Arial" w:cs="Arial" w:eastAsia="Arial" w:hAnsi="Arial"/>
                <w:b/>
                <w:bCs/>
                <w:color w:val="1A1A24"/>
                <w:sz w:val="20"/>
                <w:szCs w:val="20"/>
              </w:rPr>
              <w:t xml:space="preserve">Justificación</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Frontend</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Next.js 15 (React) + TypeScript</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Framework fullstack con SSR. UI y API en el mismo proyecto</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Estilos</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Tailwind CSS + shadcn/ui</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Componentes accesibles y sistema de diseño coherente</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Base de datos</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Supabase (PostgreSQL)</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Relacional con auth, Row Level Security por rol y API REST</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ORM</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Prisma</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Esquema tipado, migraciones automáticas y tipos seguros</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Autenticación</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NextAuth.js</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Gestión de sesiones y soporte SSO institucional (Google/Microsoft)</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Email</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Resend</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Notificaciones del sistema de estados con plantillas React</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PDF (generación)</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React PDF / Puppeteer</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Generación del documento de 17 secciones con fidelidad al diseño</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PDF (extracción)</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pdfjs / pdf-parse</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Extracción de RA desde PDFs de módulo existentes</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Gráficos</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Recharts</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Barras de progreso y mapa de calor de transversalidad</w:t>
            </w:r>
          </w:p>
        </w:tc>
      </w:tr>
      <w:tr>
        <w:tc>
          <w:tcPr>
            <w:tcW w:type="dxa" w:w="22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Despliegue</w:t>
            </w:r>
          </w:p>
        </w:tc>
        <w:tc>
          <w:tcPr>
            <w:tcW w:type="dxa" w:w="416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Vercel + GitHub</w:t>
            </w:r>
          </w:p>
        </w:tc>
        <w:tc>
          <w:tcPr>
            <w:tcW w:type="dxa" w:w="3000"/>
            <w:tcBorders>
              <w:top w:val="single" w:color="DDDBCC" w:sz="1"/>
              <w:left w:val="single" w:color="DDDBCC" w:sz="1"/>
              <w:bottom w:val="single" w:color="DDDBCC" w:sz="1"/>
              <w:right w:val="single" w:color="DDDBCC" w:sz="1"/>
            </w:tcBorders>
            <w:shd w:fill="FFFFFF" w:val="clear"/>
            <w:tcMar>
              <w:top w:type="dxa" w:w="100"/>
              <w:left w:type="dxa" w:w="120"/>
              <w:bottom w:type="dxa" w:w="100"/>
              <w:right w:type="dxa" w:w="120"/>
            </w:tcMar>
          </w:tcPr>
          <w:p>
            <w:r>
              <w:rPr>
                <w:rFonts w:ascii="Arial" w:cs="Arial" w:eastAsia="Arial" w:hAnsi="Arial"/>
                <w:b w:val="false"/>
                <w:bCs w:val="false"/>
                <w:color w:val="4A4A5E"/>
                <w:sz w:val="20"/>
                <w:szCs w:val="20"/>
              </w:rPr>
              <w:t xml:space="preserve">CI/CD con previews por rama y escala sin reconfiguración</w:t>
            </w:r>
          </w:p>
        </w:tc>
      </w:tr>
    </w:tbl>
    <w:p>
      <w:r>
        <w:br w:type="page"/>
      </w:r>
    </w:p>
    <w:p>
      <w:pPr>
        <w:pStyle w:val="Heading1"/>
        <w:spacing w:after="160" w:before="400"/>
      </w:pPr>
      <w:r>
        <w:rPr>
          <w:rFonts w:ascii="Arial" w:cs="Arial" w:eastAsia="Arial" w:hAnsi="Arial"/>
          <w:b/>
          <w:bCs/>
          <w:color w:val="1A1A24"/>
          <w:sz w:val="32"/>
          <w:szCs w:val="32"/>
        </w:rPr>
        <w:t xml:space="preserve">8. Plan de desarrollo por fases</w:t>
      </w:r>
    </w:p>
    <w:p>
      <w:pPr>
        <w:spacing w:after="80" w:before="60"/>
      </w:pPr>
      <w:r>
        <w:rPr>
          <w:rFonts w:ascii="Arial" w:cs="Arial" w:eastAsia="Arial" w:hAnsi="Arial"/>
          <w:b w:val="false"/>
          <w:bCs w:val="false"/>
          <w:i w:val="false"/>
          <w:iCs w:val="false"/>
          <w:color w:val="4A4A5E"/>
          <w:sz w:val="22"/>
          <w:szCs w:val="22"/>
        </w:rPr>
        <w:t xml:space="preserve">El plan divide el desarrollo en 4 fases con entregables verificables. El MVP (fases 1 y 2) puede estar operativo en 18–22 semanas, permitiendo iniciar el piloto con el curso 2026-2027.</w:t>
      </w:r>
    </w:p>
    <w:p>
      <w:pPr>
        <w:spacing w:after="0" w:before="80"/>
      </w:pPr>
      <w:r>
        <w:t xml:space="preserve"/>
      </w:r>
    </w:p>
    <w:p>
      <w:pPr>
        <w:pStyle w:val="Heading2"/>
        <w:spacing w:after="120" w:before="280"/>
      </w:pPr>
      <w:r>
        <w:rPr>
          <w:rFonts w:ascii="Arial" w:cs="Arial" w:eastAsia="Arial" w:hAnsi="Arial"/>
          <w:b/>
          <w:bCs/>
          <w:color w:val="0D6E6E"/>
          <w:sz w:val="26"/>
          <w:szCs w:val="26"/>
        </w:rPr>
        <w:t xml:space="preserve">Fase 1 — Fundación y autenticación (semanas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CC" w:sz="1"/>
              <w:left w:val="single" w:color="DDDBCC" w:sz="1"/>
              <w:bottom w:val="single" w:color="DDDBCC" w:sz="1"/>
              <w:right w:val="single" w:color="DDDBCC" w:sz="1"/>
            </w:tcBorders>
            <w:shd w:fill="EEE8F8" w:val="clear"/>
            <w:tcMar>
              <w:top w:type="dxa" w:w="160"/>
              <w:left w:type="dxa" w:w="200"/>
              <w:bottom w:type="dxa" w:w="160"/>
              <w:right w:type="dxa" w:w="200"/>
            </w:tcMar>
          </w:tcPr>
          <w:p>
            <w:pPr>
              <w:spacing w:after="40" w:before="40"/>
            </w:pPr>
            <w:r>
              <w:rPr>
                <w:rFonts w:ascii="Arial" w:cs="Arial" w:eastAsia="Arial" w:hAnsi="Arial"/>
                <w:color w:val="5C3A9A"/>
                <w:sz w:val="22"/>
                <w:szCs w:val="22"/>
              </w:rPr>
              <w:t xml:space="preserve">Entregable: sistema de alta, autenticación y configuración completa del departamento.</w:t>
            </w:r>
          </w:p>
        </w:tc>
      </w:tr>
    </w:tbl>
    <w:p>
      <w:pPr>
        <w:spacing w:after="0" w:before="60"/>
      </w:pPr>
      <w:r>
        <w:t xml:space="preserve"/>
      </w:r>
    </w:p>
    <w:p>
      <w:pPr>
        <w:pStyle w:val="ListParagraph"/>
        <w:numPr>
          <w:ilvl w:val="0"/>
          <w:numId w:val="2"/>
        </w:numPr>
        <w:spacing w:after="40" w:before="40"/>
      </w:pPr>
      <w:r>
        <w:rPr>
          <w:rFonts w:ascii="Arial" w:cs="Arial" w:eastAsia="Arial" w:hAnsi="Arial"/>
          <w:color w:val="4A4A5E"/>
          <w:sz w:val="22"/>
          <w:szCs w:val="22"/>
        </w:rPr>
        <w:t xml:space="preserve">Sistema de autenticación y gestión de roles (JEFE, DOCENTE, ALUMNO)</w:t>
      </w:r>
    </w:p>
    <w:p>
      <w:pPr>
        <w:pStyle w:val="ListParagraph"/>
        <w:numPr>
          <w:ilvl w:val="0"/>
          <w:numId w:val="2"/>
        </w:numPr>
        <w:spacing w:after="40" w:before="40"/>
      </w:pPr>
      <w:r>
        <w:rPr>
          <w:rFonts w:ascii="Arial" w:cs="Arial" w:eastAsia="Arial" w:hAnsi="Arial"/>
          <w:color w:val="4A4A5E"/>
          <w:sz w:val="22"/>
          <w:szCs w:val="22"/>
        </w:rPr>
        <w:t xml:space="preserve">Flujo de alta completo para los 3 roles</w:t>
      </w:r>
    </w:p>
    <w:p>
      <w:pPr>
        <w:pStyle w:val="ListParagraph"/>
        <w:numPr>
          <w:ilvl w:val="0"/>
          <w:numId w:val="2"/>
        </w:numPr>
        <w:spacing w:after="40" w:before="40"/>
      </w:pPr>
      <w:r>
        <w:rPr>
          <w:rFonts w:ascii="Arial" w:cs="Arial" w:eastAsia="Arial" w:hAnsi="Arial"/>
          <w:color w:val="4A4A5E"/>
          <w:sz w:val="22"/>
          <w:szCs w:val="22"/>
        </w:rPr>
        <w:t xml:space="preserve">Modelo de datos implementado en Supabase (todas las entidades)</w:t>
      </w:r>
    </w:p>
    <w:p>
      <w:pPr>
        <w:pStyle w:val="ListParagraph"/>
        <w:numPr>
          <w:ilvl w:val="0"/>
          <w:numId w:val="2"/>
        </w:numPr>
        <w:spacing w:after="40" w:before="40"/>
      </w:pPr>
      <w:r>
        <w:rPr>
          <w:rFonts w:ascii="Arial" w:cs="Arial" w:eastAsia="Arial" w:hAnsi="Arial"/>
          <w:color w:val="4A4A5E"/>
          <w:sz w:val="22"/>
          <w:szCs w:val="22"/>
        </w:rPr>
        <w:t xml:space="preserve">Sidebar y navegación básica por rol</w:t>
      </w:r>
    </w:p>
    <w:p>
      <w:pPr>
        <w:pStyle w:val="ListParagraph"/>
        <w:numPr>
          <w:ilvl w:val="0"/>
          <w:numId w:val="2"/>
        </w:numPr>
        <w:spacing w:after="40" w:before="40"/>
      </w:pPr>
      <w:r>
        <w:rPr>
          <w:rFonts w:ascii="Arial" w:cs="Arial" w:eastAsia="Arial" w:hAnsi="Arial"/>
          <w:color w:val="4A4A5E"/>
          <w:sz w:val="22"/>
          <w:szCs w:val="22"/>
        </w:rPr>
        <w:t xml:space="preserve">Alta de departamento, ciclo, grupos y calendario académico</w:t>
      </w:r>
    </w:p>
    <w:p>
      <w:pPr>
        <w:pStyle w:val="ListParagraph"/>
        <w:numPr>
          <w:ilvl w:val="0"/>
          <w:numId w:val="2"/>
        </w:numPr>
        <w:spacing w:after="40" w:before="40"/>
      </w:pPr>
      <w:r>
        <w:rPr>
          <w:rFonts w:ascii="Arial" w:cs="Arial" w:eastAsia="Arial" w:hAnsi="Arial"/>
          <w:color w:val="4A4A5E"/>
          <w:sz w:val="22"/>
          <w:szCs w:val="22"/>
        </w:rPr>
        <w:t xml:space="preserve">Criterio de éxito: un jefe, 3 docentes y 20 alumnos pueden registrarse y acceder a su panel</w:t>
      </w:r>
    </w:p>
    <w:p>
      <w:pPr>
        <w:spacing w:after="0" w:before="120"/>
      </w:pPr>
      <w:r>
        <w:t xml:space="preserve"/>
      </w:r>
    </w:p>
    <w:p>
      <w:pPr>
        <w:pStyle w:val="Heading2"/>
        <w:spacing w:after="120" w:before="280"/>
      </w:pPr>
      <w:r>
        <w:rPr>
          <w:rFonts w:ascii="Arial" w:cs="Arial" w:eastAsia="Arial" w:hAnsi="Arial"/>
          <w:b/>
          <w:bCs/>
          <w:color w:val="0D6E6E"/>
          <w:sz w:val="26"/>
          <w:szCs w:val="26"/>
        </w:rPr>
        <w:t xml:space="preserve">Fase 2 — Gestión curricular y ciclo de vida (semanas 11–22)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CC" w:sz="1"/>
              <w:left w:val="single" w:color="DDDBCC" w:sz="1"/>
              <w:bottom w:val="single" w:color="DDDBCC" w:sz="1"/>
              <w:right w:val="single" w:color="DDDBCC" w:sz="1"/>
            </w:tcBorders>
            <w:shd w:fill="E5EAF8" w:val="clear"/>
            <w:tcMar>
              <w:top w:type="dxa" w:w="160"/>
              <w:left w:type="dxa" w:w="200"/>
              <w:bottom w:type="dxa" w:w="160"/>
              <w:right w:type="dxa" w:w="200"/>
            </w:tcMar>
          </w:tcPr>
          <w:p>
            <w:pPr>
              <w:spacing w:after="40" w:before="40"/>
            </w:pPr>
            <w:r>
              <w:rPr>
                <w:rFonts w:ascii="Arial" w:cs="Arial" w:eastAsia="Arial" w:hAnsi="Arial"/>
                <w:color w:val="1A3A8A"/>
                <w:sz w:val="22"/>
                <w:szCs w:val="22"/>
              </w:rPr>
              <w:t xml:space="preserve">Entregable: editor de módulo completo, ciclo de vida de PROG_MODULO y panel del jefe. ► Piloto real.</w:t>
            </w:r>
          </w:p>
        </w:tc>
      </w:tr>
    </w:tbl>
    <w:p>
      <w:pPr>
        <w:spacing w:after="0" w:before="60"/>
      </w:pPr>
      <w:r>
        <w:t xml:space="preserve"/>
      </w:r>
    </w:p>
    <w:p>
      <w:pPr>
        <w:pStyle w:val="ListParagraph"/>
        <w:numPr>
          <w:ilvl w:val="0"/>
          <w:numId w:val="2"/>
        </w:numPr>
        <w:spacing w:after="40" w:before="40"/>
      </w:pPr>
      <w:r>
        <w:rPr>
          <w:rFonts w:ascii="Arial" w:cs="Arial" w:eastAsia="Arial" w:hAnsi="Arial"/>
          <w:color w:val="4A4A5E"/>
          <w:sz w:val="22"/>
          <w:szCs w:val="22"/>
        </w:rPr>
        <w:t xml:space="preserve">Editor completo de RA, criterios de evaluación y UT por módulo</w:t>
      </w:r>
    </w:p>
    <w:p>
      <w:pPr>
        <w:pStyle w:val="ListParagraph"/>
        <w:numPr>
          <w:ilvl w:val="0"/>
          <w:numId w:val="2"/>
        </w:numPr>
        <w:spacing w:after="40" w:before="40"/>
      </w:pPr>
      <w:r>
        <w:rPr>
          <w:rFonts w:ascii="Arial" w:cs="Arial" w:eastAsia="Arial" w:hAnsi="Arial"/>
          <w:color w:val="4A4A5E"/>
          <w:sz w:val="22"/>
          <w:szCs w:val="22"/>
        </w:rPr>
        <w:t xml:space="preserve">Extracción de RA desde PDF de módulo (pdfjs)</w:t>
      </w:r>
    </w:p>
    <w:p>
      <w:pPr>
        <w:pStyle w:val="ListParagraph"/>
        <w:numPr>
          <w:ilvl w:val="0"/>
          <w:numId w:val="2"/>
        </w:numPr>
        <w:spacing w:after="40" w:before="40"/>
      </w:pPr>
      <w:r>
        <w:rPr>
          <w:rFonts w:ascii="Arial" w:cs="Arial" w:eastAsia="Arial" w:hAnsi="Arial"/>
          <w:color w:val="4A4A5E"/>
          <w:sz w:val="22"/>
          <w:szCs w:val="22"/>
        </w:rPr>
        <w:t xml:space="preserve">Sistema de estados y ciclo de vida completo de PROG_MODULO</w:t>
      </w:r>
    </w:p>
    <w:p>
      <w:pPr>
        <w:pStyle w:val="ListParagraph"/>
        <w:numPr>
          <w:ilvl w:val="0"/>
          <w:numId w:val="2"/>
        </w:numPr>
        <w:spacing w:after="40" w:before="40"/>
      </w:pPr>
      <w:r>
        <w:rPr>
          <w:rFonts w:ascii="Arial" w:cs="Arial" w:eastAsia="Arial" w:hAnsi="Arial"/>
          <w:color w:val="4A4A5E"/>
          <w:sz w:val="22"/>
          <w:szCs w:val="22"/>
        </w:rPr>
        <w:t xml:space="preserve">Notificaciones por email en cada transición de estado</w:t>
      </w:r>
    </w:p>
    <w:p>
      <w:pPr>
        <w:pStyle w:val="ListParagraph"/>
        <w:numPr>
          <w:ilvl w:val="0"/>
          <w:numId w:val="2"/>
        </w:numPr>
        <w:spacing w:after="40" w:before="40"/>
      </w:pPr>
      <w:r>
        <w:rPr>
          <w:rFonts w:ascii="Arial" w:cs="Arial" w:eastAsia="Arial" w:hAnsi="Arial"/>
          <w:color w:val="4A4A5E"/>
          <w:sz w:val="22"/>
          <w:szCs w:val="22"/>
        </w:rPr>
        <w:t xml:space="preserve">Historial de cambios con fecha, autoría y justificación</w:t>
      </w:r>
    </w:p>
    <w:p>
      <w:pPr>
        <w:pStyle w:val="ListParagraph"/>
        <w:numPr>
          <w:ilvl w:val="0"/>
          <w:numId w:val="2"/>
        </w:numPr>
        <w:spacing w:after="40" w:before="40"/>
      </w:pPr>
      <w:r>
        <w:rPr>
          <w:rFonts w:ascii="Arial" w:cs="Arial" w:eastAsia="Arial" w:hAnsi="Arial"/>
          <w:color w:val="4A4A5E"/>
          <w:sz w:val="22"/>
          <w:szCs w:val="22"/>
        </w:rPr>
        <w:t xml:space="preserve">Panel de revisión del jefe (aprobar / solicitar cambios con comentario)</w:t>
      </w:r>
    </w:p>
    <w:p>
      <w:pPr>
        <w:pStyle w:val="ListParagraph"/>
        <w:numPr>
          <w:ilvl w:val="0"/>
          <w:numId w:val="2"/>
        </w:numPr>
        <w:spacing w:after="40" w:before="40"/>
      </w:pPr>
      <w:r>
        <w:rPr>
          <w:rFonts w:ascii="Arial" w:cs="Arial" w:eastAsia="Arial" w:hAnsi="Arial"/>
          <w:color w:val="4A4A5E"/>
          <w:sz w:val="22"/>
          <w:szCs w:val="22"/>
        </w:rPr>
        <w:t xml:space="preserve">Criterio de éxito: docente programa su módulo y lo envía a revisión en menos de 2 horas</w:t>
      </w:r>
    </w:p>
    <w:p>
      <w:pPr>
        <w:spacing w:after="0" w:before="120"/>
      </w:pPr>
      <w:r>
        <w:t xml:space="preserve"/>
      </w:r>
    </w:p>
    <w:p>
      <w:pPr>
        <w:pStyle w:val="Heading2"/>
        <w:spacing w:after="120" w:before="280"/>
      </w:pPr>
      <w:r>
        <w:rPr>
          <w:rFonts w:ascii="Arial" w:cs="Arial" w:eastAsia="Arial" w:hAnsi="Arial"/>
          <w:b/>
          <w:bCs/>
          <w:color w:val="0D6E6E"/>
          <w:sz w:val="26"/>
          <w:szCs w:val="26"/>
        </w:rPr>
        <w:t xml:space="preserve">Fase 3 — Transversalidad y generación de documento (semanas 23–32)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CC" w:sz="1"/>
              <w:left w:val="single" w:color="DDDBCC" w:sz="1"/>
              <w:bottom w:val="single" w:color="DDDBCC" w:sz="1"/>
              <w:right w:val="single" w:color="DDDBCC" w:sz="1"/>
            </w:tcBorders>
            <w:shd w:fill="E3F5EC" w:val="clear"/>
            <w:tcMar>
              <w:top w:type="dxa" w:w="160"/>
              <w:left w:type="dxa" w:w="200"/>
              <w:bottom w:type="dxa" w:w="160"/>
              <w:right w:type="dxa" w:w="200"/>
            </w:tcMar>
          </w:tcPr>
          <w:p>
            <w:pPr>
              <w:spacing w:after="40" w:before="40"/>
            </w:pPr>
            <w:r>
              <w:rPr>
                <w:rFonts w:ascii="Arial" w:cs="Arial" w:eastAsia="Arial" w:hAnsi="Arial"/>
                <w:color w:val="1A7A4A"/>
                <w:sz w:val="22"/>
                <w:szCs w:val="22"/>
              </w:rPr>
              <w:t xml:space="preserve">Entregable: mapa de transversalidad, alertas y PDF de la Programación Didáctica completa.</w:t>
            </w:r>
          </w:p>
        </w:tc>
      </w:tr>
    </w:tbl>
    <w:p>
      <w:pPr>
        <w:spacing w:after="0" w:before="60"/>
      </w:pPr>
      <w:r>
        <w:t xml:space="preserve"/>
      </w:r>
    </w:p>
    <w:p>
      <w:pPr>
        <w:pStyle w:val="ListParagraph"/>
        <w:numPr>
          <w:ilvl w:val="0"/>
          <w:numId w:val="2"/>
        </w:numPr>
        <w:spacing w:after="40" w:before="40"/>
      </w:pPr>
      <w:r>
        <w:rPr>
          <w:rFonts w:ascii="Arial" w:cs="Arial" w:eastAsia="Arial" w:hAnsi="Arial"/>
          <w:color w:val="4A4A5E"/>
          <w:sz w:val="22"/>
          <w:szCs w:val="22"/>
        </w:rPr>
        <w:t xml:space="preserve">Motor de cálculo de cobertura transversal por módulo y ciclo</w:t>
      </w:r>
    </w:p>
    <w:p>
      <w:pPr>
        <w:pStyle w:val="ListParagraph"/>
        <w:numPr>
          <w:ilvl w:val="0"/>
          <w:numId w:val="2"/>
        </w:numPr>
        <w:spacing w:after="40" w:before="40"/>
      </w:pPr>
      <w:r>
        <w:rPr>
          <w:rFonts w:ascii="Arial" w:cs="Arial" w:eastAsia="Arial" w:hAnsi="Arial"/>
          <w:color w:val="4A4A5E"/>
          <w:sz w:val="22"/>
          <w:szCs w:val="22"/>
        </w:rPr>
        <w:t xml:space="preserve">Mapa de transversalidad con alertas por severidad (Alta / Media / Baja)</w:t>
      </w:r>
    </w:p>
    <w:p>
      <w:pPr>
        <w:pStyle w:val="ListParagraph"/>
        <w:numPr>
          <w:ilvl w:val="0"/>
          <w:numId w:val="2"/>
        </w:numPr>
        <w:spacing w:after="40" w:before="40"/>
      </w:pPr>
      <w:r>
        <w:rPr>
          <w:rFonts w:ascii="Arial" w:cs="Arial" w:eastAsia="Arial" w:hAnsi="Arial"/>
          <w:color w:val="4A4A5E"/>
          <w:sz w:val="22"/>
          <w:szCs w:val="22"/>
        </w:rPr>
        <w:t xml:space="preserve">Sistema de notificación de vacíos al docente y al jefe</w:t>
      </w:r>
    </w:p>
    <w:p>
      <w:pPr>
        <w:pStyle w:val="ListParagraph"/>
        <w:numPr>
          <w:ilvl w:val="0"/>
          <w:numId w:val="2"/>
        </w:numPr>
        <w:spacing w:after="40" w:before="40"/>
      </w:pPr>
      <w:r>
        <w:rPr>
          <w:rFonts w:ascii="Arial" w:cs="Arial" w:eastAsia="Arial" w:hAnsi="Arial"/>
          <w:color w:val="4A4A5E"/>
          <w:sz w:val="22"/>
          <w:szCs w:val="22"/>
        </w:rPr>
        <w:t xml:space="preserve">Generación automática del PDF (17 secciones del índice normativo)</w:t>
      </w:r>
    </w:p>
    <w:p>
      <w:pPr>
        <w:pStyle w:val="ListParagraph"/>
        <w:numPr>
          <w:ilvl w:val="0"/>
          <w:numId w:val="2"/>
        </w:numPr>
        <w:spacing w:after="40" w:before="40"/>
      </w:pPr>
      <w:r>
        <w:rPr>
          <w:rFonts w:ascii="Arial" w:cs="Arial" w:eastAsia="Arial" w:hAnsi="Arial"/>
          <w:color w:val="4A4A5E"/>
          <w:sz w:val="22"/>
          <w:szCs w:val="22"/>
        </w:rPr>
        <w:t xml:space="preserve">Checklist de publicación y botón de publicar curso</w:t>
      </w:r>
    </w:p>
    <w:p>
      <w:pPr>
        <w:pStyle w:val="ListParagraph"/>
        <w:numPr>
          <w:ilvl w:val="0"/>
          <w:numId w:val="2"/>
        </w:numPr>
        <w:spacing w:after="40" w:before="40"/>
      </w:pPr>
      <w:r>
        <w:rPr>
          <w:rFonts w:ascii="Arial" w:cs="Arial" w:eastAsia="Arial" w:hAnsi="Arial"/>
          <w:color w:val="4A4A5E"/>
          <w:sz w:val="22"/>
          <w:szCs w:val="22"/>
        </w:rPr>
        <w:t xml:space="preserve">Criterio de éxito: PDF presentable ante inspección educativa</w:t>
      </w:r>
    </w:p>
    <w:p>
      <w:pPr>
        <w:spacing w:after="0" w:before="120"/>
      </w:pPr>
      <w:r>
        <w:t xml:space="preserve"/>
      </w:r>
    </w:p>
    <w:p>
      <w:pPr>
        <w:pStyle w:val="Heading2"/>
        <w:spacing w:after="120" w:before="280"/>
      </w:pPr>
      <w:r>
        <w:rPr>
          <w:rFonts w:ascii="Arial" w:cs="Arial" w:eastAsia="Arial" w:hAnsi="Arial"/>
          <w:b/>
          <w:bCs/>
          <w:color w:val="0D6E6E"/>
          <w:sz w:val="26"/>
          <w:szCs w:val="26"/>
        </w:rPr>
        <w:t xml:space="preserve">Fase 4 — Intermodular, trazabilidad y memoria (semanas 33–48)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CC" w:sz="1"/>
              <w:left w:val="single" w:color="DDDBCC" w:sz="1"/>
              <w:bottom w:val="single" w:color="DDDBCC" w:sz="1"/>
              <w:right w:val="single" w:color="DDDBCC" w:sz="1"/>
            </w:tcBorders>
            <w:shd w:fill="FEF3E2" w:val="clear"/>
            <w:tcMar>
              <w:top w:type="dxa" w:w="160"/>
              <w:left w:type="dxa" w:w="200"/>
              <w:bottom w:type="dxa" w:w="160"/>
              <w:right w:type="dxa" w:w="200"/>
            </w:tcMar>
          </w:tcPr>
          <w:p>
            <w:pPr>
              <w:spacing w:after="40" w:before="40"/>
            </w:pPr>
            <w:r>
              <w:rPr>
                <w:rFonts w:ascii="Arial" w:cs="Arial" w:eastAsia="Arial" w:hAnsi="Arial"/>
                <w:color w:val="C47C1A"/>
                <w:sz w:val="22"/>
                <w:szCs w:val="22"/>
              </w:rPr>
              <w:t xml:space="preserve">Entregable: sistema completo con memoria autogenerada y arquitectura multi-ciclo.</w:t>
            </w:r>
          </w:p>
        </w:tc>
      </w:tr>
    </w:tbl>
    <w:p>
      <w:pPr>
        <w:spacing w:after="0" w:before="60"/>
      </w:pPr>
      <w:r>
        <w:t xml:space="preserve"/>
      </w:r>
    </w:p>
    <w:p>
      <w:pPr>
        <w:pStyle w:val="ListParagraph"/>
        <w:numPr>
          <w:ilvl w:val="0"/>
          <w:numId w:val="2"/>
        </w:numPr>
        <w:spacing w:after="40" w:before="40"/>
      </w:pPr>
      <w:r>
        <w:rPr>
          <w:rFonts w:ascii="Arial" w:cs="Arial" w:eastAsia="Arial" w:hAnsi="Arial"/>
          <w:color w:val="4A4A5E"/>
          <w:sz w:val="22"/>
          <w:szCs w:val="22"/>
        </w:rPr>
        <w:t xml:space="preserve">Módulo de proyecto intermodular con seguimiento de progreso y evaluación conjunta</w:t>
      </w:r>
    </w:p>
    <w:p>
      <w:pPr>
        <w:pStyle w:val="ListParagraph"/>
        <w:numPr>
          <w:ilvl w:val="0"/>
          <w:numId w:val="2"/>
        </w:numPr>
        <w:spacing w:after="40" w:before="40"/>
      </w:pPr>
      <w:r>
        <w:rPr>
          <w:rFonts w:ascii="Arial" w:cs="Arial" w:eastAsia="Arial" w:hAnsi="Arial"/>
          <w:color w:val="4A4A5E"/>
          <w:sz w:val="22"/>
          <w:szCs w:val="22"/>
        </w:rPr>
        <w:t xml:space="preserve">Trazabilidad en tiempo real de RA trabajados por UT durante el curso</w:t>
      </w:r>
    </w:p>
    <w:p>
      <w:pPr>
        <w:pStyle w:val="ListParagraph"/>
        <w:numPr>
          <w:ilvl w:val="0"/>
          <w:numId w:val="2"/>
        </w:numPr>
        <w:spacing w:after="40" w:before="40"/>
      </w:pPr>
      <w:r>
        <w:rPr>
          <w:rFonts w:ascii="Arial" w:cs="Arial" w:eastAsia="Arial" w:hAnsi="Arial"/>
          <w:color w:val="4A4A5E"/>
          <w:sz w:val="22"/>
          <w:szCs w:val="22"/>
        </w:rPr>
        <w:t xml:space="preserve">Panel del alumnado: consulta de programaciones, RA y FCT</w:t>
      </w:r>
    </w:p>
    <w:p>
      <w:pPr>
        <w:pStyle w:val="ListParagraph"/>
        <w:numPr>
          <w:ilvl w:val="0"/>
          <w:numId w:val="2"/>
        </w:numPr>
        <w:spacing w:after="40" w:before="40"/>
      </w:pPr>
      <w:r>
        <w:rPr>
          <w:rFonts w:ascii="Arial" w:cs="Arial" w:eastAsia="Arial" w:hAnsi="Arial"/>
          <w:color w:val="4A4A5E"/>
          <w:sz w:val="22"/>
          <w:szCs w:val="22"/>
        </w:rPr>
        <w:t xml:space="preserve">Generación automática de la memoria de fin de curso</w:t>
      </w:r>
    </w:p>
    <w:p>
      <w:pPr>
        <w:pStyle w:val="ListParagraph"/>
        <w:numPr>
          <w:ilvl w:val="0"/>
          <w:numId w:val="2"/>
        </w:numPr>
        <w:spacing w:after="40" w:before="40"/>
      </w:pPr>
      <w:r>
        <w:rPr>
          <w:rFonts w:ascii="Arial" w:cs="Arial" w:eastAsia="Arial" w:hAnsi="Arial"/>
          <w:color w:val="4A4A5E"/>
          <w:sz w:val="22"/>
          <w:szCs w:val="22"/>
        </w:rPr>
        <w:t xml:space="preserve">Arquitectura multi-ciclo para extensión a otras familias profesionales</w:t>
      </w:r>
    </w:p>
    <w:p>
      <w:pPr>
        <w:pStyle w:val="ListParagraph"/>
        <w:numPr>
          <w:ilvl w:val="0"/>
          <w:numId w:val="2"/>
        </w:numPr>
        <w:spacing w:after="40" w:before="40"/>
      </w:pPr>
      <w:r>
        <w:rPr>
          <w:rFonts w:ascii="Arial" w:cs="Arial" w:eastAsia="Arial" w:hAnsi="Arial"/>
          <w:color w:val="4A4A5E"/>
          <w:sz w:val="22"/>
          <w:szCs w:val="22"/>
        </w:rPr>
        <w:t xml:space="preserve">Criterio de éxito: memoria de fin de curso generada sin trabajo adicional del docente</w:t>
      </w:r>
    </w:p>
    <w:p>
      <w:r>
        <w:br w:type="page"/>
      </w:r>
    </w:p>
    <w:p>
      <w:pPr>
        <w:pStyle w:val="Heading1"/>
        <w:spacing w:after="160" w:before="400"/>
      </w:pPr>
      <w:r>
        <w:rPr>
          <w:rFonts w:ascii="Arial" w:cs="Arial" w:eastAsia="Arial" w:hAnsi="Arial"/>
          <w:b/>
          <w:bCs/>
          <w:color w:val="1A1A24"/>
          <w:sz w:val="32"/>
          <w:szCs w:val="32"/>
        </w:rPr>
        <w:t xml:space="preserve">9. Riesgos y decisiones clave</w:t>
      </w:r>
    </w:p>
    <w:p>
      <w:pPr>
        <w:pStyle w:val="Heading2"/>
        <w:spacing w:after="120" w:before="280"/>
      </w:pPr>
      <w:r>
        <w:rPr>
          <w:rFonts w:ascii="Arial" w:cs="Arial" w:eastAsia="Arial" w:hAnsi="Arial"/>
          <w:b/>
          <w:bCs/>
          <w:color w:val="0D6E6E"/>
          <w:sz w:val="26"/>
          <w:szCs w:val="26"/>
        </w:rPr>
        <w:t xml:space="preserve">9.1 Riesgos de adopción (prioritarios)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Riesgo</w:t>
            </w:r>
          </w:p>
        </w:tc>
        <w:tc>
          <w:tcPr>
            <w:tcW w:type="dxa" w:w="556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Mitigación</w:t>
            </w:r>
          </w:p>
        </w:tc>
      </w:tr>
      <w:tr>
        <w:tc>
          <w:tcPr>
            <w:tcW w:type="dxa" w:w="3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El profesorado percibe el sistema como más trabajo</w:t>
            </w:r>
          </w:p>
        </w:tc>
        <w:tc>
          <w:tcPr>
            <w:tcW w:type="dxa" w:w="5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El MVP debe demostrar valor inmediato: carga el PDF del módulo y obtiene el 70% de la programación generada en la primera sesión</w:t>
            </w:r>
          </w:p>
        </w:tc>
      </w:tr>
      <w:tr>
        <w:tc>
          <w:tcPr>
            <w:tcW w:type="dxa" w:w="3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El jefe no lidera la implantación</w:t>
            </w:r>
          </w:p>
        </w:tc>
        <w:tc>
          <w:tcPr>
            <w:tcW w:type="dxa" w:w="5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El jefe es el usuario con mayor ganancia inmediata. La demo inicial debe hacerse con él, no con el docente</w:t>
            </w:r>
          </w:p>
        </w:tc>
      </w:tr>
      <w:tr>
        <w:tc>
          <w:tcPr>
            <w:tcW w:type="dxa" w:w="3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Resistencia al cambio ante PDF en papel</w:t>
            </w:r>
          </w:p>
        </w:tc>
        <w:tc>
          <w:tcPr>
            <w:tcW w:type="dxa" w:w="5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El sistema siempre exporta a PDF. No elimina el documento — lo genera con mayor calidad</w:t>
            </w:r>
          </w:p>
        </w:tc>
      </w:tr>
    </w:tbl>
    <w:p>
      <w:pPr>
        <w:spacing w:after="0" w:before="120"/>
      </w:pPr>
      <w:r>
        <w:t xml:space="preserve"/>
      </w:r>
    </w:p>
    <w:p>
      <w:pPr>
        <w:pStyle w:val="Heading2"/>
        <w:spacing w:after="120" w:before="280"/>
      </w:pPr>
      <w:r>
        <w:rPr>
          <w:rFonts w:ascii="Arial" w:cs="Arial" w:eastAsia="Arial" w:hAnsi="Arial"/>
          <w:b/>
          <w:bCs/>
          <w:color w:val="0D6E6E"/>
          <w:sz w:val="26"/>
          <w:szCs w:val="26"/>
        </w:rPr>
        <w:t xml:space="preserve">9.2 Riesgos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Riesgo</w:t>
            </w:r>
          </w:p>
        </w:tc>
        <w:tc>
          <w:tcPr>
            <w:tcW w:type="dxa" w:w="556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Mitigación</w:t>
            </w:r>
          </w:p>
        </w:tc>
      </w:tr>
      <w:tr>
        <w:tc>
          <w:tcPr>
            <w:tcW w:type="dxa" w:w="3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Extracción de RA desde PDF poco fiable</w:t>
            </w:r>
          </w:p>
        </w:tc>
        <w:tc>
          <w:tcPr>
            <w:tcW w:type="dxa" w:w="5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Diseñar flujo de revisión manual rápida. No depender del 100% de acierto automático</w:t>
            </w:r>
          </w:p>
        </w:tc>
      </w:tr>
      <w:tr>
        <w:tc>
          <w:tcPr>
            <w:tcW w:type="dxa" w:w="3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PDF generado no aceptable ante inspección</w:t>
            </w:r>
          </w:p>
        </w:tc>
        <w:tc>
          <w:tcPr>
            <w:tcW w:type="dxa" w:w="5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Iterar el formato del PDF con docentes reales durante el piloto antes de la Fase 3 final</w:t>
            </w:r>
          </w:p>
        </w:tc>
      </w:tr>
    </w:tbl>
    <w:p>
      <w:pPr>
        <w:spacing w:after="0" w:before="120"/>
      </w:pPr>
      <w:r>
        <w:t xml:space="preserve"/>
      </w:r>
    </w:p>
    <w:p>
      <w:pPr>
        <w:pStyle w:val="Heading2"/>
        <w:spacing w:after="120" w:before="280"/>
      </w:pPr>
      <w:r>
        <w:rPr>
          <w:rFonts w:ascii="Arial" w:cs="Arial" w:eastAsia="Arial" w:hAnsi="Arial"/>
          <w:b/>
          <w:bCs/>
          <w:color w:val="0D6E6E"/>
          <w:sz w:val="26"/>
          <w:szCs w:val="26"/>
        </w:rPr>
        <w:t xml:space="preserve">9.3 Decisiones clave antes de iniciar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Decisión</w:t>
            </w:r>
          </w:p>
        </w:tc>
        <w:tc>
          <w:tcPr>
            <w:tcW w:type="dxa" w:w="556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Recomendación</w:t>
            </w:r>
          </w:p>
        </w:tc>
      </w:tr>
      <w:tr>
        <w:tc>
          <w:tcPr>
            <w:tcW w:type="dxa" w:w="3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Alcance del piloto</w:t>
            </w:r>
          </w:p>
        </w:tc>
        <w:tc>
          <w:tcPr>
            <w:tcW w:type="dxa" w:w="5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Un solo centro (IES Fernando Sagaseta, Telde) para el MVP. Escalar después de validar</w:t>
            </w:r>
          </w:p>
        </w:tc>
      </w:tr>
      <w:tr>
        <w:tc>
          <w:tcPr>
            <w:tcW w:type="dxa" w:w="3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Equipo de desarrollo</w:t>
            </w:r>
          </w:p>
        </w:tc>
        <w:tc>
          <w:tcPr>
            <w:tcW w:type="dxa" w:w="5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Desarrollador Next.js freelance o colaboración TFG/TFM de ingeniería informática</w:t>
            </w:r>
          </w:p>
        </w:tc>
      </w:tr>
      <w:tr>
        <w:tc>
          <w:tcPr>
            <w:tcW w:type="dxa" w:w="3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Financiación</w:t>
            </w:r>
          </w:p>
        </w:tc>
        <w:tc>
          <w:tcPr>
            <w:tcW w:type="dxa" w:w="5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Explorar convocatorias de innovación educativa del Gobierno de Canarias y programas de digitalización de la FP del MEFP antes de financiación propia</w:t>
            </w:r>
          </w:p>
        </w:tc>
      </w:tr>
      <w:tr>
        <w:tc>
          <w:tcPr>
            <w:tcW w:type="dxa" w:w="38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Modelo de distribución</w:t>
            </w:r>
          </w:p>
        </w:tc>
        <w:tc>
          <w:tcPr>
            <w:tcW w:type="dxa" w:w="55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Licencia open source (MIT) facilita adopción en otros centros. Modelo de negocio: hosting y soporte de implantación</w:t>
            </w:r>
          </w:p>
        </w:tc>
      </w:tr>
    </w:tbl>
    <w:p>
      <w:r>
        <w:br w:type="page"/>
      </w:r>
    </w:p>
    <w:p>
      <w:pPr>
        <w:pStyle w:val="Heading1"/>
        <w:spacing w:after="160" w:before="400"/>
      </w:pPr>
      <w:r>
        <w:rPr>
          <w:rFonts w:ascii="Arial" w:cs="Arial" w:eastAsia="Arial" w:hAnsi="Arial"/>
          <w:b/>
          <w:bCs/>
          <w:color w:val="1A1A24"/>
          <w:sz w:val="32"/>
          <w:szCs w:val="32"/>
        </w:rPr>
        <w:t xml:space="preserve">10. 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CC" w:sz="1"/>
              <w:left w:val="single" w:color="DDDBCC" w:sz="1"/>
              <w:bottom w:val="single" w:color="DDDBCC" w:sz="1"/>
              <w:right w:val="single" w:color="DDDBCC" w:sz="1"/>
            </w:tcBorders>
            <w:shd w:fill="E0F0F0" w:val="clear"/>
            <w:tcMar>
              <w:top w:type="dxa" w:w="160"/>
              <w:left w:type="dxa" w:w="200"/>
              <w:bottom w:type="dxa" w:w="160"/>
              <w:right w:type="dxa" w:w="200"/>
            </w:tcMar>
          </w:tcPr>
          <w:p>
            <w:pPr>
              <w:spacing w:after="40" w:before="40"/>
            </w:pPr>
            <w:r>
              <w:rPr>
                <w:rFonts w:ascii="Arial" w:cs="Arial" w:eastAsia="Arial" w:hAnsi="Arial"/>
                <w:color w:val="0D6E6E"/>
                <w:sz w:val="22"/>
                <w:szCs w:val="22"/>
              </w:rPr>
              <w:t xml:space="preserve">FPdoc es un sistema web colaborativo que transforma la Programación Didáctica</w:t>
            </w:r>
          </w:p>
          <w:p>
            <w:pPr>
              <w:spacing w:after="40" w:before="40"/>
            </w:pPr>
            <w:r>
              <w:rPr>
                <w:rFonts w:ascii="Arial" w:cs="Arial" w:eastAsia="Arial" w:hAnsi="Arial"/>
                <w:color w:val="0D6E6E"/>
                <w:sz w:val="22"/>
                <w:szCs w:val="22"/>
              </w:rPr>
              <w:t xml:space="preserve">de trámite burocrático en documento vivo y herramienta de coordinación real.</w:t>
            </w:r>
          </w:p>
          <w:p>
            <w:pPr>
              <w:spacing w:after="40" w:before="40"/>
            </w:pPr>
            <w:r>
              <w:rPr>
                <w:rFonts w:ascii="Arial" w:cs="Arial" w:eastAsia="Arial" w:hAnsi="Arial"/>
                <w:color w:val="0D6E6E"/>
                <w:sz w:val="22"/>
                <w:szCs w:val="22"/>
              </w:rPr>
              <w:t xml:space="preserve"/>
            </w:r>
          </w:p>
          <w:p>
            <w:pPr>
              <w:spacing w:after="40" w:before="40"/>
            </w:pPr>
            <w:r>
              <w:rPr>
                <w:rFonts w:ascii="Arial" w:cs="Arial" w:eastAsia="Arial" w:hAnsi="Arial"/>
                <w:color w:val="0D6E6E"/>
                <w:sz w:val="22"/>
                <w:szCs w:val="22"/>
              </w:rPr>
              <w:t xml:space="preserve">Piloto: 2.º CFGS Diseño y Amueblamiento · IES Fernando Sagaseta · Telde</w:t>
            </w:r>
          </w:p>
          <w:p>
            <w:pPr>
              <w:spacing w:after="40" w:before="40"/>
            </w:pPr>
            <w:r>
              <w:rPr>
                <w:rFonts w:ascii="Arial" w:cs="Arial" w:eastAsia="Arial" w:hAnsi="Arial"/>
                <w:color w:val="0D6E6E"/>
                <w:sz w:val="22"/>
                <w:szCs w:val="22"/>
              </w:rPr>
              <w:t xml:space="preserve">MVP operativo estimado: septiembre 2026 (inicio del curso 2026-2027)</w:t>
            </w:r>
          </w:p>
          <w:p>
            <w:pPr>
              <w:spacing w:after="40" w:before="40"/>
            </w:pPr>
            <w:r>
              <w:rPr>
                <w:rFonts w:ascii="Arial" w:cs="Arial" w:eastAsia="Arial" w:hAnsi="Arial"/>
                <w:color w:val="0D6E6E"/>
                <w:sz w:val="22"/>
                <w:szCs w:val="22"/>
              </w:rPr>
              <w:t xml:space="preserve">Fases: 4 fases · 48 semanas totales · MVP en 18-22 semanas</w:t>
            </w:r>
          </w:p>
          <w:p>
            <w:pPr>
              <w:spacing w:after="40" w:before="40"/>
            </w:pPr>
            <w:r>
              <w:rPr>
                <w:rFonts w:ascii="Arial" w:cs="Arial" w:eastAsia="Arial" w:hAnsi="Arial"/>
                <w:color w:val="0D6E6E"/>
                <w:sz w:val="22"/>
                <w:szCs w:val="22"/>
              </w:rPr>
              <w:t xml:space="preserve">Stack: Next.js 15 + Supabase + Prisma + TypeScript + Vercel</w:t>
            </w:r>
          </w:p>
        </w:tc>
      </w:tr>
    </w:tbl>
    <w:p>
      <w:pPr>
        <w:spacing w:after="0" w:before="120"/>
      </w:pPr>
      <w:r>
        <w:t xml:space="preserve"/>
      </w:r>
    </w:p>
    <w:p>
      <w:pPr>
        <w:pStyle w:val="Heading2"/>
        <w:spacing w:after="120" w:before="280"/>
      </w:pPr>
      <w:r>
        <w:rPr>
          <w:rFonts w:ascii="Arial" w:cs="Arial" w:eastAsia="Arial" w:hAnsi="Arial"/>
          <w:b/>
          <w:bCs/>
          <w:color w:val="0D6E6E"/>
          <w:sz w:val="26"/>
          <w:szCs w:val="26"/>
        </w:rPr>
        <w:t xml:space="preserve">Valor diferencial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Rol</w:t>
            </w:r>
          </w:p>
        </w:tc>
        <w:tc>
          <w:tcPr>
            <w:tcW w:type="dxa" w:w="6160"/>
            <w:tcBorders>
              <w:top w:val="single" w:color="DDDBCC" w:sz="1"/>
              <w:left w:val="single" w:color="DDDBCC" w:sz="1"/>
              <w:bottom w:val="single" w:color="DDDBCC" w:sz="1"/>
              <w:right w:val="single" w:color="DDDBCC" w:sz="1"/>
            </w:tcBorders>
            <w:shd w:fill="F4F3EF" w:val="clear"/>
            <w:tcMar>
              <w:top w:type="dxa" w:w="100"/>
              <w:left w:type="dxa" w:w="140"/>
              <w:bottom w:type="dxa" w:w="100"/>
              <w:right w:type="dxa" w:w="140"/>
            </w:tcMar>
          </w:tcPr>
          <w:p>
            <w:r>
              <w:rPr>
                <w:rFonts w:ascii="Arial" w:cs="Arial" w:eastAsia="Arial" w:hAnsi="Arial"/>
                <w:b/>
                <w:bCs/>
                <w:color w:val="1A1A24"/>
                <w:sz w:val="20"/>
                <w:szCs w:val="20"/>
              </w:rPr>
              <w:t xml:space="preserve">Valor que obtiene con FPdoc</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Jefe de Departamento</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Visión en tiempo real del ciclo completo, alertas transversales automáticas, coordinación del proyecto intermodular y publicación con garantías</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Profesorado</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Reducción del 70% del tiempo de redacción de la programación gracias a la generación automática desde RA y criterios</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Alumnado</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Acceso transparente a la programación de sus módulos, criterios de evaluación y seguimiento personalizado de su itinerario FCT e ITK</w:t>
            </w:r>
          </w:p>
        </w:tc>
      </w:tr>
      <w:tr>
        <w:tc>
          <w:tcPr>
            <w:tcW w:type="dxa" w:w="320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Inspección educativa</w:t>
            </w:r>
          </w:p>
        </w:tc>
        <w:tc>
          <w:tcPr>
            <w:tcW w:type="dxa" w:w="6160"/>
            <w:tcBorders>
              <w:top w:val="single" w:color="DDDBCC" w:sz="1"/>
              <w:left w:val="single" w:color="DDDBCC" w:sz="1"/>
              <w:bottom w:val="single" w:color="DDDBCC" w:sz="1"/>
              <w:right w:val="single" w:color="DDDBCC" w:sz="1"/>
            </w:tcBorders>
            <w:shd w:fill="FFFFFF" w:val="clear"/>
            <w:tcMar>
              <w:top w:type="dxa" w:w="100"/>
              <w:left w:type="dxa" w:w="140"/>
              <w:bottom w:type="dxa" w:w="100"/>
              <w:right w:type="dxa" w:w="140"/>
            </w:tcMar>
          </w:tcPr>
          <w:p>
            <w:r>
              <w:rPr>
                <w:rFonts w:ascii="Arial" w:cs="Arial" w:eastAsia="Arial" w:hAnsi="Arial"/>
                <w:b w:val="false"/>
                <w:bCs w:val="false"/>
                <w:color w:val="4A4A5E"/>
                <w:sz w:val="20"/>
                <w:szCs w:val="20"/>
              </w:rPr>
              <w:t xml:space="preserve">PDF de Programación Didáctica completo, trazable y con historial de cambios justificados disponible en cualquier momento del curso</w:t>
            </w:r>
          </w:p>
        </w:tc>
      </w:tr>
    </w:tbl>
    <w:p>
      <w:pPr>
        <w:spacing w:after="0" w:before="200"/>
      </w:pPr>
      <w:r>
        <w:t xml:space="preserve"/>
      </w:r>
    </w:p>
    <w:p>
      <w:pPr>
        <w:spacing w:before="200"/>
        <w:jc w:val="right"/>
      </w:pPr>
      <w:r>
        <w:rPr>
          <w:rFonts w:ascii="Arial" w:cs="Arial" w:eastAsia="Arial" w:hAnsi="Arial"/>
          <w:i/>
          <w:iCs/>
          <w:color w:val="9494A8"/>
          <w:sz w:val="18"/>
          <w:szCs w:val="18"/>
        </w:rPr>
        <w:t xml:space="preserve">Documento generado por FPdoc · Versión 1.0 · Abril 2026</w:t>
      </w:r>
    </w:p>
    <w:sectPr>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94A8"/>
        <w:sz w:val="18"/>
        <w:szCs w:val="18"/>
      </w:rPr>
      <w:t xml:space="preserve">FPdoc — Arquitectura del sistema · </w:t>
    </w:r>
    <w:r>
      <w:rPr>
        <w:rFonts w:ascii="Arial" w:cs="Arial" w:eastAsia="Arial" w:hAnsi="Arial"/>
        <w:color w:val="9494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2026-04-02T23:05:33.316Z</dcterms:created>
  <dcterms:modified xsi:type="dcterms:W3CDTF">2026-04-02T23:05:33.317Z</dcterms:modified>
</cp:coreProperties>
</file>

<file path=docProps/custom.xml><?xml version="1.0" encoding="utf-8"?>
<Properties xmlns="http://schemas.openxmlformats.org/officeDocument/2006/custom-properties" xmlns:vt="http://schemas.openxmlformats.org/officeDocument/2006/docPropsVTypes"/>
</file>