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Founding of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Warg Rider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Horse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9/-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&gt;=2 Captains of Arnor are alive after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all Captains of Arnor w/in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Legions of the Witch-king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Slain Evil Warriors return on 4+ from the east edge or the center of the north or south edges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Rising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Witch-king has 2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Hold the Line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must stay w/in 12" of the center of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Unknown Attackers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do not have Hatred (Angmar)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The Founding of Angmar.docx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