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RESEARCH PROPOSAL</w:t>
      </w:r>
    </w:p>
    <w:tbl>
      <w:tblPr>
        <w:tblW w:type="dxa" w:w="9026"/>
        <w:tblBorders>
          <w:top w:val="single" w:color="94A3B8" w:sz="4"/>
          <w:left w:val="single" w:color="94A3B8" w:sz="4"/>
          <w:bottom w:val="single" w:color="94A3B8" w:sz="4"/>
          <w:right w:val="single" w:color="94A3B8" w:sz="4"/>
          <w:insideH w:val="single" w:color="94A3B8" w:sz="4"/>
          <w:insideV w:val="single" w:color="94A3B8" w:sz="4"/>
        </w:tblBorders>
      </w:tblPr>
      <w:tblGrid>
        <w:gridCol w:w="2340"/>
        <w:gridCol w:w="6686"/>
      </w:tblGrid>
      <w:tr>
        <w:tc>
          <w:tcPr>
            <w:tcW w:type="dxa" w:w="2340"/>
            <w:shd w:fill="F2F5FB"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Research title</w:t>
            </w:r>
          </w:p>
        </w:tc>
        <w:tc>
          <w:tcPr>
            <w:tcW w:type="dxa" w:w="6686"/>
            <w:tcMar>
              <w:top w:type="dxa" w:w="30"/>
              <w:left w:type="dxa" w:w="80"/>
              <w:bottom w:type="dxa" w:w="30"/>
              <w:right w:type="dxa" w:w="80"/>
            </w:tcMar>
          </w:tcPr>
          <w:p>
            <w:pPr>
              <w:spacing w:after="20" w:before="20"/>
              <w:jc w:val="left"/>
            </w:pPr>
            <w:r>
              <w:rPr>
                <w:rFonts w:ascii="Times New Roman" w:cs="Times New Roman" w:eastAsia="Times New Roman" w:hAnsi="Times New Roman"/>
                <w:sz w:val="20"/>
                <w:szCs w:val="20"/>
              </w:rPr>
              <w:t xml:space="preserve">A Comparative Study of GenAI-Generated and Human-Authored Black-Box Test Suites</w:t>
            </w:r>
          </w:p>
        </w:tc>
      </w:tr>
      <w:tr>
        <w:tc>
          <w:tcPr>
            <w:tcW w:type="dxa" w:w="2340"/>
            <w:shd w:fill="F2F5FB"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Sub-committee</w:t>
            </w:r>
          </w:p>
        </w:tc>
        <w:tc>
          <w:tcPr>
            <w:tcW w:type="dxa" w:w="6686"/>
            <w:tcMar>
              <w:top w:type="dxa" w:w="30"/>
              <w:left w:type="dxa" w:w="80"/>
              <w:bottom w:type="dxa" w:w="30"/>
              <w:right w:type="dxa" w:w="80"/>
            </w:tcMar>
          </w:tcPr>
          <w:p>
            <w:pPr>
              <w:spacing w:after="20" w:before="20"/>
              <w:jc w:val="left"/>
            </w:pPr>
            <w:r>
              <w:rPr>
                <w:rFonts w:ascii="Times New Roman" w:cs="Times New Roman" w:eastAsia="Times New Roman" w:hAnsi="Times New Roman"/>
                <w:sz w:val="20"/>
                <w:szCs w:val="20"/>
              </w:rPr>
              <w:t xml:space="preserve">Software Testing</w:t>
            </w:r>
          </w:p>
        </w:tc>
      </w:tr>
      <w:tr>
        <w:tc>
          <w:tcPr>
            <w:tcW w:type="dxa" w:w="2340"/>
            <w:shd w:fill="F2F5FB"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Group name</w:t>
            </w:r>
          </w:p>
        </w:tc>
        <w:tc>
          <w:tcPr>
            <w:tcW w:type="dxa" w:w="6686"/>
            <w:tcMar>
              <w:top w:type="dxa" w:w="30"/>
              <w:left w:type="dxa" w:w="80"/>
              <w:bottom w:type="dxa" w:w="30"/>
              <w:right w:type="dxa" w:w="80"/>
            </w:tcMar>
          </w:tcPr>
          <w:p>
            <w:pPr>
              <w:spacing w:after="20" w:before="20"/>
              <w:jc w:val="left"/>
            </w:pPr>
            <w:r>
              <w:rPr>
                <w:rFonts w:ascii="Times New Roman" w:cs="Times New Roman" w:eastAsia="Times New Roman" w:hAnsi="Times New Roman"/>
                <w:sz w:val="20"/>
                <w:szCs w:val="20"/>
              </w:rPr>
              <w:t xml:space="preserve">SE1907 – Group 1</w:t>
            </w:r>
          </w:p>
        </w:tc>
      </w:tr>
      <w:tr>
        <w:tc>
          <w:tcPr>
            <w:tcW w:type="dxa" w:w="2340"/>
            <w:shd w:fill="F2F5FB"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Authors</w:t>
            </w:r>
          </w:p>
        </w:tc>
        <w:tc>
          <w:tcPr>
            <w:tcW w:type="dxa" w:w="6686"/>
            <w:tcMar>
              <w:top w:type="dxa" w:w="30"/>
              <w:left w:type="dxa" w:w="80"/>
              <w:bottom w:type="dxa" w:w="30"/>
              <w:right w:type="dxa" w:w="80"/>
            </w:tcMar>
          </w:tcPr>
          <w:p>
            <w:pPr>
              <w:spacing w:after="20" w:before="20"/>
              <w:jc w:val="left"/>
            </w:pPr>
            <w:r>
              <w:rPr>
                <w:rFonts w:ascii="Times New Roman" w:cs="Times New Roman" w:eastAsia="Times New Roman" w:hAnsi="Times New Roman"/>
                <w:sz w:val="20"/>
                <w:szCs w:val="20"/>
              </w:rPr>
              <w:t xml:space="preserve">Đặng Phước Vinh, Vũ Hà Ngọc Huyền, Phạm Nguyễn Quyền</w:t>
            </w:r>
          </w:p>
        </w:tc>
      </w:tr>
      <w:tr>
        <w:tc>
          <w:tcPr>
            <w:tcW w:type="dxa" w:w="2340"/>
            <w:shd w:fill="F2F5FB"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Mentor</w:t>
            </w:r>
          </w:p>
        </w:tc>
        <w:tc>
          <w:tcPr>
            <w:tcW w:type="dxa" w:w="6686"/>
            <w:tcMar>
              <w:top w:type="dxa" w:w="30"/>
              <w:left w:type="dxa" w:w="80"/>
              <w:bottom w:type="dxa" w:w="30"/>
              <w:right w:type="dxa" w:w="80"/>
            </w:tcMar>
          </w:tcPr>
          <w:p>
            <w:pPr>
              <w:spacing w:after="20" w:before="20"/>
              <w:jc w:val="left"/>
            </w:pPr>
            <w:r>
              <w:rPr>
                <w:rFonts w:ascii="Times New Roman" w:cs="Times New Roman" w:eastAsia="Times New Roman" w:hAnsi="Times New Roman"/>
                <w:sz w:val="20"/>
                <w:szCs w:val="20"/>
              </w:rPr>
              <w:t xml:space="preserve">Nguyễn Nguyên Bình</w:t>
            </w:r>
          </w:p>
        </w:tc>
      </w:tr>
    </w:tbl>
    <w:p>
      <w:pPr>
        <w:spacing w:after="60"/>
      </w:pPr>
    </w:p>
    <w:p>
      <w:pPr>
        <w:pStyle w:val="Heading1"/>
        <w:spacing w:after="120" w:before="240"/>
      </w:pPr>
      <w:r>
        <w:rPr>
          <w:rFonts w:ascii="Times New Roman" w:cs="Times New Roman" w:eastAsia="Times New Roman" w:hAnsi="Times New Roman"/>
          <w:b/>
          <w:bCs/>
          <w:color w:val="1F3864"/>
          <w:sz w:val="28"/>
          <w:szCs w:val="28"/>
        </w:rPr>
        <w:t xml:space="preserve">Abstract</w:t>
      </w:r>
    </w:p>
    <w:p>
      <w:pPr>
        <w:spacing w:after="120" w:before="0" w:line="276"/>
        <w:jc w:val="both"/>
      </w:pPr>
      <w:r>
        <w:rPr>
          <w:rFonts w:ascii="Times New Roman" w:cs="Times New Roman" w:eastAsia="Times New Roman" w:hAnsi="Times New Roman"/>
          <w:sz w:val="22"/>
          <w:szCs w:val="22"/>
        </w:rPr>
        <w:t xml:space="preserve">Generative Artificial Intelligence (GenAI) is increasingly proposed as a way to automate black-box test design, yet it remains unclear whether AI-generated test suites match the effectiveness of human-authored ones. </w:t>
      </w:r>
      <w:r>
        <w:rPr>
          <w:rFonts w:ascii="Times New Roman" w:cs="Times New Roman" w:eastAsia="Times New Roman" w:hAnsi="Times New Roman"/>
          <w:sz w:val="22"/>
          <w:szCs w:val="22"/>
        </w:rPr>
        <w:t xml:space="preserve">This study conducts a controlled empirical comparison of GenAI-generated and human-authored black-box test suites, extending the experimental design of Kirinuki and Tanno (2024). </w:t>
      </w:r>
      <w:r>
        <w:rPr>
          <w:rFonts w:ascii="Times New Roman" w:cs="Times New Roman" w:eastAsia="Times New Roman" w:hAnsi="Times New Roman"/>
          <w:sz w:val="22"/>
          <w:szCs w:val="22"/>
        </w:rPr>
        <w:t xml:space="preserve">We reuse their three published application specifications and add two new specifications (a Library Fine Calculator and a Task Manager), giving five command-line applications and 158 reference test viewpoints. </w:t>
      </w:r>
      <w:r>
        <w:rPr>
          <w:rFonts w:ascii="Times New Roman" w:cs="Times New Roman" w:eastAsia="Times New Roman" w:hAnsi="Times New Roman"/>
          <w:sz w:val="22"/>
          <w:szCs w:val="22"/>
        </w:rPr>
        <w:t xml:space="preserve">For each application, black-box test suites are generated by four contemporary large language models (GPT-5.5, Claude Sonnet 4.6, Gemini 3.1, and ChatGPT) and compared against human-authored suites — the original study's non-expert engineers for the three reused applications and third-year software-engineering students for the two new ones. </w:t>
      </w:r>
      <w:r>
        <w:rPr>
          <w:rFonts w:ascii="Times New Roman" w:cs="Times New Roman" w:eastAsia="Times New Roman" w:hAnsi="Times New Roman"/>
          <w:sz w:val="22"/>
          <w:szCs w:val="22"/>
        </w:rPr>
        <w:t xml:space="preserve">Every test case is mapped onto the reference viewpoints, and suites are evaluated by viewpoint coverage, category coverage, missing rate, unique contribution, and human–AI combined coverage, with differences cross-checked by a Wilcoxon signed-rank test. </w:t>
      </w:r>
      <w:r>
        <w:rPr>
          <w:rFonts w:ascii="Times New Roman" w:cs="Times New Roman" w:eastAsia="Times New Roman" w:hAnsi="Times New Roman"/>
          <w:sz w:val="22"/>
          <w:szCs w:val="22"/>
        </w:rPr>
        <w:t xml:space="preserve">Across all five applications, each evaluated LLM covered more viewpoints than any individual human tester (e.g., 86.7% for GPT-5.5 versus at most 67.6% for a single tester on the reused applications), while the union of human and AI suites reached almost complete coverage (100% on four of five applications), confirming and updating the human–AI synergy effect. </w:t>
      </w:r>
      <w:r>
        <w:rPr>
          <w:rFonts w:ascii="Times New Roman" w:cs="Times New Roman" w:eastAsia="Times New Roman" w:hAnsi="Times New Roman"/>
          <w:sz w:val="22"/>
          <w:szCs w:val="22"/>
        </w:rPr>
        <w:t xml:space="preserve">The study contributes an updated, reproducible comparison across model generations and a practitioner-oriented framework for assessing AI-generated test quality beyond simple coverage counts.</w:t>
      </w:r>
    </w:p>
    <w:p>
      <w:pPr>
        <w:pStyle w:val="Heading1"/>
        <w:spacing w:after="120" w:before="240"/>
      </w:pPr>
      <w:r>
        <w:rPr>
          <w:rFonts w:ascii="Times New Roman" w:cs="Times New Roman" w:eastAsia="Times New Roman" w:hAnsi="Times New Roman"/>
          <w:b/>
          <w:bCs/>
          <w:color w:val="1F3864"/>
          <w:sz w:val="28"/>
          <w:szCs w:val="28"/>
        </w:rPr>
        <w:t xml:space="preserve">1. Introduction</w:t>
      </w:r>
    </w:p>
    <w:p>
      <w:pPr>
        <w:pStyle w:val="Heading2"/>
        <w:spacing w:after="100" w:before="180"/>
      </w:pPr>
      <w:r>
        <w:rPr>
          <w:rFonts w:ascii="Times New Roman" w:cs="Times New Roman" w:eastAsia="Times New Roman" w:hAnsi="Times New Roman"/>
          <w:b/>
          <w:bCs/>
          <w:color w:val="2E5496"/>
          <w:sz w:val="24"/>
          <w:szCs w:val="24"/>
        </w:rPr>
        <w:t xml:space="preserve">1.1 Background</w:t>
      </w:r>
    </w:p>
    <w:p>
      <w:pPr>
        <w:spacing w:after="120" w:before="0" w:line="276"/>
        <w:jc w:val="both"/>
      </w:pPr>
      <w:r>
        <w:rPr>
          <w:rFonts w:ascii="Times New Roman" w:cs="Times New Roman" w:eastAsia="Times New Roman" w:hAnsi="Times New Roman"/>
          <w:sz w:val="22"/>
          <w:szCs w:val="22"/>
        </w:rPr>
        <w:t xml:space="preserve">Software testing is a critical activity in software engineering that ensures software systems satisfy their specified requirements and behave correctly. Among the various testing approaches, black-box testing is widely used because it evaluates software behavior from the requirements and the user's perspective, without requiring access to source code. Traditionally, deriving black-box test cases from requirements, user stories, and functional specifications has been a manual and time-consuming process that depends heavily on tester expertise.</w:t>
      </w:r>
    </w:p>
    <w:p>
      <w:pPr>
        <w:spacing w:after="120" w:before="0" w:line="276"/>
        <w:jc w:val="both"/>
      </w:pPr>
      <w:r>
        <w:rPr>
          <w:rFonts w:ascii="Times New Roman" w:cs="Times New Roman" w:eastAsia="Times New Roman" w:hAnsi="Times New Roman"/>
          <w:sz w:val="22"/>
          <w:szCs w:val="22"/>
        </w:rPr>
        <w:t xml:space="preserve">Recent advances in Generative Artificial Intelligence (GenAI) and Large Language Models (LLMs) — such as the GPT, Claude, and Gemini families — have created new opportunities for automating software-testing activities. Recent studies report that LLMs can generate unit tests, black-box test cases, and requirement-based testing scenarios with promising results [1], [5], [6], [17], [20], with functional pass rates above 70% and coverage levels up to 92% in specific settings [1], [2], [14].</w:t>
      </w:r>
    </w:p>
    <w:p>
      <w:pPr>
        <w:spacing w:after="120" w:before="0" w:line="276"/>
        <w:jc w:val="both"/>
      </w:pPr>
      <w:r>
        <w:rPr>
          <w:rFonts w:ascii="Times New Roman" w:cs="Times New Roman" w:eastAsia="Times New Roman" w:hAnsi="Times New Roman"/>
          <w:sz w:val="22"/>
          <w:szCs w:val="22"/>
        </w:rPr>
        <w:t xml:space="preserve">At the same time, the growing adoption of AI-generated testing has raised concerns about test quality, reliability, and practical effectiveness. While AI-generated tests can reduce manual effort, it remains unclear whether they achieve the same logical coverage and defect-detection effectiveness as human-authored test suites [2], [3], [12], [23]. The reference study for this proposal — Kirinuki and Tanno's “ChatGPT and Human Synergy in Black-Box Testing” [3] — compared GPT-4 against four human participants on three applications and found that ChatGPT matched or slightly surpassed humans on test-viewpoint coverage, and that human–AI collaboration outperformed either alone. Since that experiment (June 2023), model capabilities have advanced substantially, motivating an updated and broadened empirical comparison.</w:t>
      </w:r>
    </w:p>
    <w:p>
      <w:pPr>
        <w:pStyle w:val="Heading2"/>
        <w:spacing w:after="100" w:before="180"/>
      </w:pPr>
      <w:r>
        <w:rPr>
          <w:rFonts w:ascii="Times New Roman" w:cs="Times New Roman" w:eastAsia="Times New Roman" w:hAnsi="Times New Roman"/>
          <w:b/>
          <w:bCs/>
          <w:color w:val="2E5496"/>
          <w:sz w:val="24"/>
          <w:szCs w:val="24"/>
        </w:rPr>
        <w:t xml:space="preserve">Problem statement</w:t>
      </w:r>
    </w:p>
    <w:p>
      <w:pPr>
        <w:spacing w:after="120" w:before="0" w:line="276"/>
        <w:jc w:val="both"/>
      </w:pPr>
      <w:r>
        <w:rPr>
          <w:rFonts w:ascii="Times New Roman" w:cs="Times New Roman" w:eastAsia="Times New Roman" w:hAnsi="Times New Roman"/>
          <w:sz w:val="22"/>
          <w:szCs w:val="22"/>
        </w:rPr>
        <w:t xml:space="preserve">Although recent studies demonstrate the potential of GenAI for software testing, the effectiveness of AI-generated black-box test suites relative to human-authored ones remains insufficiently characterised, for four reasons.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Coverage does not equal defect detection. </w:t>
      </w:r>
      <w:r>
        <w:rPr>
          <w:rFonts w:ascii="Times New Roman" w:cs="Times New Roman" w:eastAsia="Times New Roman" w:hAnsi="Times New Roman"/>
          <w:sz w:val="22"/>
          <w:szCs w:val="22"/>
        </w:rPr>
        <w:t xml:space="preserve">Metrics such as code coverage and execution success do not necessarily reflect real defect-detection capability. TestGenEval reported that although 73.1% of generated tests were usable, only 26.8% of generated test suites were entirely correct [1]; higher functional pass rates do not always translate into better quality outcomes [2].</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Persistent logic-quality issues. </w:t>
      </w:r>
      <w:r>
        <w:rPr>
          <w:rFonts w:ascii="Times New Roman" w:cs="Times New Roman" w:eastAsia="Times New Roman" w:hAnsi="Times New Roman"/>
          <w:sz w:val="22"/>
          <w:szCs w:val="22"/>
        </w:rPr>
        <w:t xml:space="preserve">Multiple studies report missing boundary-value scenarios, logically incorrect assertions, hallucinated behaviors, and semantically invalid test cases [3], [5], [6], [12], [19], [22].</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Inconsistent evaluation. </w:t>
      </w:r>
      <w:r>
        <w:rPr>
          <w:rFonts w:ascii="Times New Roman" w:cs="Times New Roman" w:eastAsia="Times New Roman" w:hAnsi="Times New Roman"/>
          <w:sz w:val="22"/>
          <w:szCs w:val="22"/>
        </w:rPr>
        <w:t xml:space="preserve">Existing studies use different metrics — code coverage, mutation score, viewpoint coverage, fault-detection rate, execution correctness — which makes cross-study comparison difficult [1], [3], [9], [18].</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Few direct, updated comparisons. </w:t>
      </w:r>
      <w:r>
        <w:rPr>
          <w:rFonts w:ascii="Times New Roman" w:cs="Times New Roman" w:eastAsia="Times New Roman" w:hAnsi="Times New Roman"/>
          <w:sz w:val="22"/>
          <w:szCs w:val="22"/>
        </w:rPr>
        <w:t xml:space="preserve">Relatively few studies compare AI-generated and human-authored black-box suites under identical criteria, and existing comparisons (e.g., [3]) predate the current generation of models.</w:t>
      </w:r>
    </w:p>
    <w:p>
      <w:pPr>
        <w:spacing w:after="120" w:before="0" w:line="276"/>
        <w:jc w:val="both"/>
      </w:pPr>
      <w:r>
        <w:rPr>
          <w:rFonts w:ascii="Times New Roman" w:cs="Times New Roman" w:eastAsia="Times New Roman" w:hAnsi="Times New Roman"/>
          <w:sz w:val="22"/>
          <w:szCs w:val="22"/>
        </w:rPr>
        <w:t xml:space="preserve">Therefore, a controlled empirical comparison using a common, viewpoint-based evaluation framework is needed to understand the actual effectiveness of current AI-generated black-box test suites, their category-level strengths and weaknesses, and how they complement human testers.</w:t>
      </w:r>
    </w:p>
    <w:p>
      <w:pPr>
        <w:pStyle w:val="Heading2"/>
        <w:spacing w:after="100" w:before="180"/>
      </w:pPr>
      <w:r>
        <w:rPr>
          <w:rFonts w:ascii="Times New Roman" w:cs="Times New Roman" w:eastAsia="Times New Roman" w:hAnsi="Times New Roman"/>
          <w:b/>
          <w:bCs/>
          <w:color w:val="2E5496"/>
          <w:sz w:val="24"/>
          <w:szCs w:val="24"/>
        </w:rPr>
        <w:t xml:space="preserve">Research Aim</w:t>
      </w:r>
    </w:p>
    <w:p>
      <w:pPr>
        <w:spacing w:after="120" w:before="0" w:line="276"/>
        <w:jc w:val="both"/>
      </w:pPr>
      <w:r>
        <w:rPr>
          <w:rFonts w:ascii="Times New Roman" w:cs="Times New Roman" w:eastAsia="Times New Roman" w:hAnsi="Times New Roman"/>
          <w:sz w:val="22"/>
          <w:szCs w:val="22"/>
        </w:rPr>
        <w:t xml:space="preserve">This study aims to empirically evaluate the effectiveness of black-box test suites generated by current GenAI models compared with human-authored test suites, using a shared test-viewpoint framework, in order to characterise their logical coverage, category-level strengths and weaknesses, and the value of human–AI collaboration.</w:t>
      </w:r>
    </w:p>
    <w:p>
      <w:pPr>
        <w:pStyle w:val="Heading2"/>
        <w:spacing w:after="100" w:before="180"/>
      </w:pPr>
      <w:r>
        <w:rPr>
          <w:rFonts w:ascii="Times New Roman" w:cs="Times New Roman" w:eastAsia="Times New Roman" w:hAnsi="Times New Roman"/>
          <w:b/>
          <w:bCs/>
          <w:color w:val="2E5496"/>
          <w:sz w:val="24"/>
          <w:szCs w:val="24"/>
        </w:rPr>
        <w:t xml:space="preserve">Research Objective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reproduce and extend the experimental design of Kirinuki and Tanno [3] by adding contemporary LLMs and two new application specifications.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generate black-box test suites for five command-line applications using four current LLMs (GPT-5.5, Claude Sonnet 4.6, Gemini 3.1, and ChatGPT).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collect comparable human-authored test suites and map every AI- and human-generated test case onto a common set of reference test viewpoints.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measure and compare viewpoint coverage, category coverage, missing rate, unique contribution, and human–AI combined coverage across all sources.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identify the test-viewpoint categories in which AI models and human testers respectively excel or fail.</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assess whether combining human and AI test suites yields higher coverage than either alone, and to test observed differences for statistical significance.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To propose evaluation criteria and practitioner recommendations for the safe and effective adoption of AI-assisted black-box testing.</w:t>
      </w:r>
    </w:p>
    <w:p>
      <w:pPr>
        <w:pStyle w:val="Heading1"/>
        <w:spacing w:after="120" w:before="240"/>
      </w:pPr>
      <w:r>
        <w:rPr>
          <w:rFonts w:ascii="Times New Roman" w:cs="Times New Roman" w:eastAsia="Times New Roman" w:hAnsi="Times New Roman"/>
          <w:b/>
          <w:bCs/>
          <w:color w:val="1F3864"/>
          <w:sz w:val="28"/>
          <w:szCs w:val="28"/>
        </w:rPr>
        <w:t xml:space="preserve">2. Literature Review</w:t>
      </w:r>
    </w:p>
    <w:p>
      <w:pPr>
        <w:pStyle w:val="Heading3"/>
        <w:spacing w:after="80" w:before="140"/>
      </w:pPr>
      <w:r>
        <w:rPr>
          <w:rFonts w:ascii="Times New Roman" w:cs="Times New Roman" w:eastAsia="Times New Roman" w:hAnsi="Times New Roman"/>
          <w:b/>
          <w:bCs/>
          <w:i/>
          <w:iCs/>
          <w:color w:val="2E5496"/>
          <w:sz w:val="23"/>
          <w:szCs w:val="23"/>
        </w:rPr>
        <w:t xml:space="preserve">Overview of Existing Research</w:t>
      </w:r>
    </w:p>
    <w:p>
      <w:pPr>
        <w:spacing w:after="120" w:before="0" w:line="276"/>
        <w:jc w:val="both"/>
      </w:pPr>
      <w:r>
        <w:rPr>
          <w:rFonts w:ascii="Times New Roman" w:cs="Times New Roman" w:eastAsia="Times New Roman" w:hAnsi="Times New Roman"/>
          <w:sz w:val="22"/>
          <w:szCs w:val="22"/>
        </w:rPr>
        <w:t xml:space="preserve">Advances in GenAI and LLMs have significantly transformed software-testing practices, particularly automated test generation and requirements-driven black-box testing. Existing studies show that LLMs can generate test cases from natural-language requirements, user stories, acceptance criteria, and bug reports with promising results [1], [5], [7], [17], [20].</w:t>
      </w:r>
    </w:p>
    <w:p>
      <w:pPr>
        <w:spacing w:after="120" w:before="0" w:line="276"/>
        <w:jc w:val="both"/>
      </w:pPr>
      <w:r>
        <w:rPr>
          <w:rFonts w:ascii="Times New Roman" w:cs="Times New Roman" w:eastAsia="Times New Roman" w:hAnsi="Times New Roman"/>
          <w:sz w:val="22"/>
          <w:szCs w:val="22"/>
        </w:rPr>
        <w:t xml:space="preserve">A major direction compares AI-generated and human-authored test suites. Several studies report that AI-generated tests achieve coverage comparable to — and sometimes exceeding — human-generated tests in identifying diverse scenarios [3], [14], [15], while noting that AI struggles with complex reasoning, boundary-value analysis, and semantically correct assertions [2], [3], [22]. A recurring theme is human–AI collaboration: combining human expertise with AI suggestions yields higher coverage than either alone [3], [12], [23], with human reviewers remaining essential for validating generated cases and correcting hallucinated outputs. Studies on requirement-to-test transformation further show that generated-test quality depends strongly on the clarity and completeness of the input specification [7], [11], [17], [21].</w:t>
      </w:r>
    </w:p>
    <w:p>
      <w:pPr>
        <w:pStyle w:val="Heading3"/>
        <w:spacing w:after="80" w:before="140"/>
      </w:pPr>
      <w:r>
        <w:rPr>
          <w:rFonts w:ascii="Times New Roman" w:cs="Times New Roman" w:eastAsia="Times New Roman" w:hAnsi="Times New Roman"/>
          <w:b/>
          <w:bCs/>
          <w:i/>
          <w:iCs/>
          <w:color w:val="2E5496"/>
          <w:sz w:val="23"/>
          <w:szCs w:val="23"/>
        </w:rPr>
        <w:t xml:space="preserve">Research Gaps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Gap 1 — Outdated AI-versus-human comparisons. </w:t>
      </w:r>
      <w:r>
        <w:rPr>
          <w:rFonts w:ascii="Times New Roman" w:cs="Times New Roman" w:eastAsia="Times New Roman" w:hAnsi="Times New Roman"/>
          <w:sz w:val="22"/>
          <w:szCs w:val="22"/>
        </w:rPr>
        <w:t xml:space="preserve">The few direct comparisons of AI-generated and human-authored black-box suites (e.g., [3]) used earlier models and have not been revisited as capabilities advanced [2], [3], [15].</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Gap 2 — Inconsistent evaluation metrics. </w:t>
      </w:r>
      <w:r>
        <w:rPr>
          <w:rFonts w:ascii="Times New Roman" w:cs="Times New Roman" w:eastAsia="Times New Roman" w:hAnsi="Times New Roman"/>
          <w:sz w:val="22"/>
          <w:szCs w:val="22"/>
        </w:rPr>
        <w:t xml:space="preserve">Studies use different measures (code coverage, mutation score, viewpoint coverage, fault-detection rate, execution correctness), limiting cross-study comparison [1], [9], [18].</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Gap 3 — Limited category-level insight. </w:t>
      </w:r>
      <w:r>
        <w:rPr>
          <w:rFonts w:ascii="Times New Roman" w:cs="Times New Roman" w:eastAsia="Times New Roman" w:hAnsi="Times New Roman"/>
          <w:sz w:val="22"/>
          <w:szCs w:val="22"/>
        </w:rPr>
        <w:t xml:space="preserve">Most work reports aggregate coverage rather than which viewpoint categories AI or humans systematically miss [1], [14], [18].</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Gap 4 — Semantic and logical quality. </w:t>
      </w:r>
      <w:r>
        <w:rPr>
          <w:rFonts w:ascii="Times New Roman" w:cs="Times New Roman" w:eastAsia="Times New Roman" w:hAnsi="Times New Roman"/>
          <w:sz w:val="22"/>
          <w:szCs w:val="22"/>
        </w:rPr>
        <w:t xml:space="preserve">Hallucinations, invalid assertions, and missed boundary scenarios persist, with no widely accepted framework for semantic correctness [5], [6], [12], [19], [22].</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Gap 5 — Dependency on requirement quality. </w:t>
      </w:r>
      <w:r>
        <w:rPr>
          <w:rFonts w:ascii="Times New Roman" w:cs="Times New Roman" w:eastAsia="Times New Roman" w:hAnsi="Times New Roman"/>
          <w:sz w:val="22"/>
          <w:szCs w:val="22"/>
        </w:rPr>
        <w:t xml:space="preserve">The extent to which specification clarity drives AI-generated test quality remains under-investigated [7], [11], [17], [21].</w:t>
      </w:r>
    </w:p>
    <w:p>
      <w:pPr>
        <w:pStyle w:val="Heading1"/>
        <w:spacing w:after="120" w:before="240"/>
      </w:pPr>
      <w:r>
        <w:rPr>
          <w:rFonts w:ascii="Times New Roman" w:cs="Times New Roman" w:eastAsia="Times New Roman" w:hAnsi="Times New Roman"/>
          <w:b/>
          <w:bCs/>
          <w:color w:val="1F3864"/>
          <w:sz w:val="28"/>
          <w:szCs w:val="28"/>
        </w:rPr>
        <w:t xml:space="preserve">3. Research Scope</w:t>
      </w:r>
    </w:p>
    <w:p>
      <w:pPr>
        <w:pStyle w:val="Heading2"/>
        <w:spacing w:after="100" w:before="180"/>
      </w:pPr>
      <w:r>
        <w:rPr>
          <w:rFonts w:ascii="Times New Roman" w:cs="Times New Roman" w:eastAsia="Times New Roman" w:hAnsi="Times New Roman"/>
          <w:b/>
          <w:bCs/>
          <w:color w:val="2E5496"/>
          <w:sz w:val="24"/>
          <w:szCs w:val="24"/>
        </w:rPr>
        <w:t xml:space="preserve">Research Question</w:t>
      </w:r>
    </w:p>
    <w:p>
      <w:pPr>
        <w:spacing w:after="120" w:before="0" w:line="276"/>
        <w:jc w:val="both"/>
      </w:pPr>
      <w:r>
        <w:rPr>
          <w:rFonts w:ascii="Times New Roman" w:cs="Times New Roman" w:eastAsia="Times New Roman" w:hAnsi="Times New Roman"/>
          <w:b/>
          <w:bCs/>
          <w:sz w:val="22"/>
          <w:szCs w:val="22"/>
        </w:rPr>
        <w:t xml:space="preserve">RQ (main): </w:t>
      </w:r>
      <w:r>
        <w:rPr>
          <w:rFonts w:ascii="Times New Roman" w:cs="Times New Roman" w:eastAsia="Times New Roman" w:hAnsi="Times New Roman"/>
          <w:sz w:val="22"/>
          <w:szCs w:val="22"/>
        </w:rPr>
        <w:t xml:space="preserve">To what extent do GenAI-generated black-box test suites differ from human-authored test suites in terms of test-viewpoint coverage, and in which viewpoint categories does each source excel or fail?</w:t>
      </w:r>
    </w:p>
    <w:p>
      <w:pPr>
        <w:spacing w:after="120" w:before="0" w:line="276"/>
        <w:jc w:val="both"/>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How does the viewpoint coverage of each current LLM compare with that of individual human testers on the same specifications?</w:t>
      </w:r>
    </w:p>
    <w:p>
      <w:pPr>
        <w:spacing w:after="120" w:before="0" w:line="276"/>
        <w:jc w:val="both"/>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Does combining human and AI test suites achieve higher viewpoint coverage than either alone, and is the difference statistically significant?</w:t>
      </w:r>
    </w:p>
    <w:p>
      <w:pPr>
        <w:spacing w:after="120" w:before="0" w:line="276"/>
        <w:jc w:val="both"/>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How does the newest generation of models compare with the GPT-4 baseline reported by Kirinuki and Tanno [3]?</w:t>
      </w:r>
    </w:p>
    <w:p>
      <w:pPr>
        <w:pStyle w:val="Heading2"/>
        <w:spacing w:after="100" w:before="180"/>
      </w:pPr>
      <w:r>
        <w:rPr>
          <w:rFonts w:ascii="Times New Roman" w:cs="Times New Roman" w:eastAsia="Times New Roman" w:hAnsi="Times New Roman"/>
          <w:b/>
          <w:bCs/>
          <w:color w:val="2E5496"/>
          <w:sz w:val="24"/>
          <w:szCs w:val="24"/>
        </w:rPr>
        <w:t xml:space="preserve">Scope of the study</w:t>
      </w:r>
    </w:p>
    <w:p>
      <w:pPr>
        <w:spacing w:after="120" w:before="0" w:line="276"/>
        <w:jc w:val="both"/>
      </w:pPr>
      <w:r>
        <w:rPr>
          <w:rFonts w:ascii="Times New Roman" w:cs="Times New Roman" w:eastAsia="Times New Roman" w:hAnsi="Times New Roman"/>
          <w:sz w:val="22"/>
          <w:szCs w:val="22"/>
        </w:rPr>
        <w:t xml:space="preserve">This study is a primary empirical comparative experiment, complemented by a focused review of related work that grounds its design and evaluation framework. Its core contribution is original experimental data collected by the authors. The scope is bounded as follows: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Target artifacts: </w:t>
      </w:r>
      <w:r>
        <w:rPr>
          <w:rFonts w:ascii="Times New Roman" w:cs="Times New Roman" w:eastAsia="Times New Roman" w:hAnsi="Times New Roman"/>
          <w:sz w:val="22"/>
          <w:szCs w:val="22"/>
        </w:rPr>
        <w:t xml:space="preserve">black-box test suites for command-line applications, generated by LLMs and written by human testers.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Subject systems: </w:t>
      </w:r>
      <w:r>
        <w:rPr>
          <w:rFonts w:ascii="Times New Roman" w:cs="Times New Roman" w:eastAsia="Times New Roman" w:hAnsi="Times New Roman"/>
          <w:sz w:val="22"/>
          <w:szCs w:val="22"/>
        </w:rPr>
        <w:t xml:space="preserve">five CLI applications — Password Strength Checker, Unit Converter, and Budget Planner (reused from [3]), plus a Library Fine Calculator and a Task Manager (new specifications written for this study).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AI models: </w:t>
      </w:r>
      <w:r>
        <w:rPr>
          <w:rFonts w:ascii="Times New Roman" w:cs="Times New Roman" w:eastAsia="Times New Roman" w:hAnsi="Times New Roman"/>
          <w:sz w:val="22"/>
          <w:szCs w:val="22"/>
        </w:rPr>
        <w:t xml:space="preserve">GPT-5.5, Claude Sonnet 4.6, Gemini 3.1, and ChatGPT (GPT-4 as the historical baseline from [3]).</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Human baselines: </w:t>
      </w:r>
      <w:r>
        <w:rPr>
          <w:rFonts w:ascii="Times New Roman" w:cs="Times New Roman" w:eastAsia="Times New Roman" w:hAnsi="Times New Roman"/>
          <w:sz w:val="22"/>
          <w:szCs w:val="22"/>
        </w:rPr>
        <w:t xml:space="preserve">the four non-expert engineer participants from [3] for the three reused applications, and three third-year software-engineering students for the two new specifications.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Evaluation focus: </w:t>
      </w:r>
      <w:r>
        <w:rPr>
          <w:rFonts w:ascii="Times New Roman" w:cs="Times New Roman" w:eastAsia="Times New Roman" w:hAnsi="Times New Roman"/>
          <w:sz w:val="22"/>
          <w:szCs w:val="22"/>
        </w:rPr>
        <w:t xml:space="preserve">test-viewpoint coverage and its derived metrics; a lightweight seeded-fault (mutation) analysis serves as a secondary defect-detection check.</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Exclusions: </w:t>
      </w:r>
      <w:r>
        <w:rPr>
          <w:rFonts w:ascii="Times New Roman" w:cs="Times New Roman" w:eastAsia="Times New Roman" w:hAnsi="Times New Roman"/>
          <w:sz w:val="22"/>
          <w:szCs w:val="22"/>
        </w:rPr>
        <w:t xml:space="preserve">white-box and grey-box generation where source code is provided as prompt input, test maintenance, and test-result analysis are out of scope.</w:t>
      </w:r>
    </w:p>
    <w:p>
      <w:pPr>
        <w:pStyle w:val="Heading1"/>
        <w:spacing w:after="120" w:before="240"/>
      </w:pPr>
      <w:r>
        <w:rPr>
          <w:rFonts w:ascii="Times New Roman" w:cs="Times New Roman" w:eastAsia="Times New Roman" w:hAnsi="Times New Roman"/>
          <w:b/>
          <w:bCs/>
          <w:color w:val="1F3864"/>
          <w:sz w:val="28"/>
          <w:szCs w:val="28"/>
        </w:rPr>
        <w:t xml:space="preserve">4. Approach and Method</w:t>
      </w:r>
    </w:p>
    <w:p>
      <w:pPr>
        <w:pStyle w:val="Heading2"/>
        <w:spacing w:after="100" w:before="180"/>
      </w:pPr>
      <w:r>
        <w:rPr>
          <w:rFonts w:ascii="Times New Roman" w:cs="Times New Roman" w:eastAsia="Times New Roman" w:hAnsi="Times New Roman"/>
          <w:b/>
          <w:bCs/>
          <w:color w:val="2E5496"/>
          <w:sz w:val="24"/>
          <w:szCs w:val="24"/>
        </w:rPr>
        <w:t xml:space="preserve">4.1 Research Approach</w:t>
      </w:r>
    </w:p>
    <w:p>
      <w:pPr>
        <w:spacing w:after="120" w:before="0" w:line="276"/>
        <w:jc w:val="both"/>
      </w:pPr>
      <w:r>
        <w:rPr>
          <w:rFonts w:ascii="Times New Roman" w:cs="Times New Roman" w:eastAsia="Times New Roman" w:hAnsi="Times New Roman"/>
          <w:sz w:val="22"/>
          <w:szCs w:val="22"/>
        </w:rPr>
        <w:t xml:space="preserve">The study adopts a controlled comparative experiment. For each application specification, black-box test suites are produced independently by the AI models and by the human testers under the same prompt/instructions, then evaluated against a common reference set of test viewpoints. The reference viewpoints for the three reused applications are taken from Kirinuki and Tanno [3]; for the two new applications, the authors derive a reference viewpoint set from the specification using standard black-box techniques (equivalence partitioning, boundary-value analysis, and decision-table testing) and validate it by independent cross-review.</w:t>
      </w:r>
    </w:p>
    <w:p>
      <w:pPr>
        <w:spacing w:after="120" w:before="0" w:line="276"/>
        <w:jc w:val="both"/>
      </w:pPr>
      <w:r>
        <w:rPr>
          <w:rFonts w:ascii="Times New Roman" w:cs="Times New Roman" w:eastAsia="Times New Roman" w:hAnsi="Times New Roman"/>
          <w:sz w:val="22"/>
          <w:szCs w:val="22"/>
        </w:rPr>
        <w:t xml:space="preserve">To keep the extension comparable with the baseline study, the human effort protocol mirrors [3]: each tester designs test cases from the specification alone, without access to the reference viewpoints or to the AI outputs, and self-reports the time spent.</w:t>
      </w:r>
    </w:p>
    <w:p>
      <w:pPr>
        <w:pStyle w:val="Heading2"/>
        <w:spacing w:after="100" w:before="180"/>
      </w:pPr>
      <w:r>
        <w:rPr>
          <w:rFonts w:ascii="Times New Roman" w:cs="Times New Roman" w:eastAsia="Times New Roman" w:hAnsi="Times New Roman"/>
          <w:b/>
          <w:bCs/>
          <w:color w:val="2E5496"/>
          <w:sz w:val="24"/>
          <w:szCs w:val="24"/>
        </w:rPr>
        <w:t xml:space="preserve">4.2 Data Preparation</w:t>
      </w:r>
    </w:p>
    <w:p>
      <w:pPr>
        <w:pStyle w:val="Heading3"/>
        <w:spacing w:after="80" w:before="140"/>
      </w:pPr>
      <w:r>
        <w:rPr>
          <w:rFonts w:ascii="Times New Roman" w:cs="Times New Roman" w:eastAsia="Times New Roman" w:hAnsi="Times New Roman"/>
          <w:b/>
          <w:bCs/>
          <w:i/>
          <w:iCs/>
          <w:color w:val="2E5496"/>
          <w:sz w:val="23"/>
          <w:szCs w:val="23"/>
        </w:rPr>
        <w:t xml:space="preserve">Dataset sources</w:t>
      </w:r>
    </w:p>
    <w:p>
      <w:pPr>
        <w:spacing w:after="120" w:before="0" w:line="276"/>
        <w:jc w:val="both"/>
      </w:pPr>
      <w:r>
        <w:rPr>
          <w:rFonts w:ascii="Times New Roman" w:cs="Times New Roman" w:eastAsia="Times New Roman" w:hAnsi="Times New Roman"/>
          <w:sz w:val="22"/>
          <w:szCs w:val="22"/>
        </w:rPr>
        <w:t xml:space="preserve">Application specifications for the three reused applications are obtained from the replication package of Kirinuki and Tanno, published on Zenodo (https://zenodo.org/records/10476924). The two new specifications (Library Fine Calculator and Task Manager) are authored by the research team following the same structure and level of detail. All specifications, prompts, generated suites, and the coding sheet are archived in the project repository (https://github.com/dpvinh30092005/research-testing-model-ai).</w:t>
      </w:r>
    </w:p>
    <w:p>
      <w:pPr>
        <w:pStyle w:val="Heading3"/>
        <w:spacing w:after="80" w:before="140"/>
      </w:pPr>
      <w:r>
        <w:rPr>
          <w:rFonts w:ascii="Times New Roman" w:cs="Times New Roman" w:eastAsia="Times New Roman" w:hAnsi="Times New Roman"/>
          <w:b/>
          <w:bCs/>
          <w:i/>
          <w:iCs/>
          <w:color w:val="2E5496"/>
          <w:sz w:val="23"/>
          <w:szCs w:val="23"/>
        </w:rPr>
        <w:t xml:space="preserve">Participants</w:t>
      </w:r>
    </w:p>
    <w:p>
      <w:pPr>
        <w:spacing w:after="120" w:before="0" w:line="276"/>
        <w:jc w:val="both"/>
      </w:pPr>
      <w:r>
        <w:rPr>
          <w:rFonts w:ascii="Times New Roman" w:cs="Times New Roman" w:eastAsia="Times New Roman" w:hAnsi="Times New Roman"/>
          <w:sz w:val="22"/>
          <w:szCs w:val="22"/>
        </w:rPr>
        <w:t xml:space="preserve">Human baselines comprise two groups. For the three reused applications, the human data are the four non-expert engineer participants reported in [3] (experienced in implementation, unit testing, and ad-hoc testing, but not experts in black-box test design). For the two new specifications, three third-year software-engineering students authored the test suites. Because the two groups differ in both experience and size, their results are reported separately and are not pooled (see Section 7).</w:t>
      </w:r>
    </w:p>
    <w:p>
      <w:pPr>
        <w:pStyle w:val="Heading3"/>
        <w:spacing w:after="80" w:before="140"/>
      </w:pPr>
      <w:r>
        <w:rPr>
          <w:rFonts w:ascii="Times New Roman" w:cs="Times New Roman" w:eastAsia="Times New Roman" w:hAnsi="Times New Roman"/>
          <w:b/>
          <w:bCs/>
          <w:i/>
          <w:iCs/>
          <w:color w:val="2E5496"/>
          <w:sz w:val="23"/>
          <w:szCs w:val="23"/>
        </w:rPr>
        <w:t xml:space="preserve">Data gathering methods</w:t>
      </w:r>
    </w:p>
    <w:p>
      <w:pPr>
        <w:spacing w:after="120" w:before="0" w:line="276"/>
        <w:jc w:val="both"/>
      </w:pPr>
      <w:r>
        <w:rPr>
          <w:rFonts w:ascii="Times New Roman" w:cs="Times New Roman" w:eastAsia="Times New Roman" w:hAnsi="Times New Roman"/>
          <w:sz w:val="22"/>
          <w:szCs w:val="22"/>
        </w:rPr>
        <w:t xml:space="preserve">Each LLM is prompted once per application with a fixed prompt template (distinct templates for stateless and stateful applications) instructing it to produce at least 50 test cases sufficient to verify correct behavior, including descriptive error messages for invalid input. Human testers write their suites manually from the same specification. Every resulting test case — AI or human — is then read and mapped by the research team onto exactly one reference viewpoint; a viewpoint is marked covered by a source if that source produced at least one test case addressing it.</w:t>
      </w:r>
    </w:p>
    <w:p>
      <w:pPr>
        <w:pStyle w:val="Heading2"/>
        <w:spacing w:after="100" w:before="180"/>
      </w:pPr>
      <w:r>
        <w:rPr>
          <w:rFonts w:ascii="Times New Roman" w:cs="Times New Roman" w:eastAsia="Times New Roman" w:hAnsi="Times New Roman"/>
          <w:b/>
          <w:bCs/>
          <w:color w:val="2E5496"/>
          <w:sz w:val="24"/>
          <w:szCs w:val="24"/>
        </w:rPr>
        <w:t xml:space="preserve">Proposed Framework / System Design</w:t>
      </w:r>
    </w:p>
    <w:p>
      <w:pPr>
        <w:spacing w:after="120" w:before="0" w:line="276"/>
        <w:jc w:val="both"/>
      </w:pPr>
      <w:r>
        <w:rPr>
          <w:rFonts w:ascii="Times New Roman" w:cs="Times New Roman" w:eastAsia="Times New Roman" w:hAnsi="Times New Roman"/>
          <w:sz w:val="22"/>
          <w:szCs w:val="22"/>
        </w:rPr>
        <w:t xml:space="preserve">The evaluation uses a viewpoint-mapping framework with four analysis dimensions, applied uniformly to every source: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Logic / requirement coverage — </w:t>
      </w:r>
      <w:r>
        <w:rPr>
          <w:rFonts w:ascii="Times New Roman" w:cs="Times New Roman" w:eastAsia="Times New Roman" w:hAnsi="Times New Roman"/>
          <w:sz w:val="22"/>
          <w:szCs w:val="22"/>
        </w:rPr>
        <w:t xml:space="preserve">proportion of reference viewpoints covered, overall and per category.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Defect-detection effectiveness — </w:t>
      </w:r>
      <w:r>
        <w:rPr>
          <w:rFonts w:ascii="Times New Roman" w:cs="Times New Roman" w:eastAsia="Times New Roman" w:hAnsi="Times New Roman"/>
          <w:sz w:val="22"/>
          <w:szCs w:val="22"/>
        </w:rPr>
        <w:t xml:space="preserve">secondary seeded-fault (mutation) analysis: a small set of one-bug mutants per application (e.g., default priority changed, boundary cap off-by-one) is run against each suite; mutation score = killed / total mutants.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Test quality — </w:t>
      </w:r>
      <w:r>
        <w:rPr>
          <w:rFonts w:ascii="Times New Roman" w:cs="Times New Roman" w:eastAsia="Times New Roman" w:hAnsi="Times New Roman"/>
          <w:sz w:val="22"/>
          <w:szCs w:val="22"/>
        </w:rPr>
        <w:t xml:space="preserve">qualitative flags for semantic correctness, boundary-value handling, and hallucinated/unsupported expected results.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Human–AI collaboration — </w:t>
      </w:r>
      <w:r>
        <w:rPr>
          <w:rFonts w:ascii="Times New Roman" w:cs="Times New Roman" w:eastAsia="Times New Roman" w:hAnsi="Times New Roman"/>
          <w:sz w:val="22"/>
          <w:szCs w:val="22"/>
        </w:rPr>
        <w:t xml:space="preserve">AI-only, human-only, and combined (union) coverage.</w:t>
      </w:r>
    </w:p>
    <w:p>
      <w:pPr>
        <w:spacing w:after="120" w:before="0" w:line="276"/>
        <w:jc w:val="both"/>
      </w:pPr>
      <w:r>
        <w:rPr>
          <w:rFonts w:ascii="Times New Roman" w:cs="Times New Roman" w:eastAsia="Times New Roman" w:hAnsi="Times New Roman"/>
          <w:b/>
          <w:bCs/>
          <w:sz w:val="22"/>
          <w:szCs w:val="22"/>
        </w:rPr>
        <w:t xml:space="preserve">Workflow: </w:t>
      </w:r>
      <w:r>
        <w:rPr>
          <w:rFonts w:ascii="Times New Roman" w:cs="Times New Roman" w:eastAsia="Times New Roman" w:hAnsi="Times New Roman"/>
          <w:sz w:val="22"/>
          <w:szCs w:val="22"/>
        </w:rPr>
        <w:t xml:space="preserve">(1) prepare/validate specifications and reference viewpoints; (2) generate AI suites and collect human suites; (3) map every test case to a viewpoint in a shared coding sheet; (4) compute metrics with a Python script directly from the coding sheet; (5) run mutation checks; (6) synthesise and test for significance. Tools: the four LLM web/API interfaces for generation, a spreadsheet coding sheet for mapping, and a stdlib Python script (analyze_viewpoints.py) for metric computation.</w:t>
      </w:r>
    </w:p>
    <w:p>
      <w:pPr>
        <w:pStyle w:val="Heading2"/>
        <w:spacing w:after="100" w:before="180"/>
      </w:pPr>
      <w:r>
        <w:rPr>
          <w:rFonts w:ascii="Times New Roman" w:cs="Times New Roman" w:eastAsia="Times New Roman" w:hAnsi="Times New Roman"/>
          <w:b/>
          <w:bCs/>
          <w:color w:val="2E5496"/>
          <w:sz w:val="24"/>
          <w:szCs w:val="24"/>
        </w:rPr>
        <w:t xml:space="preserve">Evaluation Method</w:t>
      </w:r>
    </w:p>
    <w:p>
      <w:pPr>
        <w:pStyle w:val="Heading3"/>
        <w:spacing w:after="80" w:before="140"/>
      </w:pPr>
      <w:r>
        <w:rPr>
          <w:rFonts w:ascii="Times New Roman" w:cs="Times New Roman" w:eastAsia="Times New Roman" w:hAnsi="Times New Roman"/>
          <w:b/>
          <w:bCs/>
          <w:i/>
          <w:iCs/>
          <w:color w:val="2E5496"/>
          <w:sz w:val="23"/>
          <w:szCs w:val="23"/>
        </w:rPr>
        <w:t xml:space="preserve">Metrics</w:t>
      </w:r>
    </w:p>
    <w:tbl>
      <w:tblPr>
        <w:tblW w:type="dxa" w:w="9026"/>
        <w:tblBorders>
          <w:top w:val="single" w:color="94A3B8" w:sz="4"/>
          <w:left w:val="single" w:color="94A3B8" w:sz="4"/>
          <w:bottom w:val="single" w:color="94A3B8" w:sz="4"/>
          <w:right w:val="single" w:color="94A3B8" w:sz="4"/>
          <w:insideH w:val="single" w:color="94A3B8" w:sz="4"/>
          <w:insideV w:val="single" w:color="94A3B8" w:sz="4"/>
        </w:tblBorders>
      </w:tblPr>
      <w:tblGrid>
        <w:gridCol w:w="3300"/>
        <w:gridCol w:w="5726"/>
      </w:tblGrid>
      <w:tr>
        <w:trPr>
          <w:tblHeader/>
        </w:trPr>
        <w:tc>
          <w:tcPr>
            <w:tcW w:type="dxa" w:w="33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Metric</w:t>
            </w:r>
          </w:p>
        </w:tc>
        <w:tc>
          <w:tcPr>
            <w:tcW w:type="dxa" w:w="5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Definition</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Viewpoint coverage</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covered viewpoints / total viewpoints</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Category coverage</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covered viewpoints in a category / total viewpoints in that category</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Missing rate</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missed viewpoints / total viewpoints</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Unique contribution</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viewpoints covered by exactly one source</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Human–AI combined coverage</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union(human) ∪ union(AI) / total viewpoints</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AI ∩ Human overlap</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viewpoints covered by ≥1 AI and ≥1 human / total viewpoints</w:t>
            </w:r>
          </w:p>
        </w:tc>
      </w:tr>
      <w:tr>
        <w:trPr>
          <w:tblHeader w:val="false"/>
        </w:trPr>
        <w:tc>
          <w:tcPr>
            <w:tcW w:type="dxa" w:w="33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Mutation score (secondary)</w:t>
            </w:r>
          </w:p>
        </w:tc>
        <w:tc>
          <w:tcPr>
            <w:tcW w:type="dxa" w:w="5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killed mutants / total seeded mutants</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Benchmarking</w:t>
      </w:r>
    </w:p>
    <w:p>
      <w:pPr>
        <w:spacing w:after="120" w:before="0" w:line="276"/>
        <w:jc w:val="both"/>
      </w:pPr>
      <w:r>
        <w:rPr>
          <w:rFonts w:ascii="Times New Roman" w:cs="Times New Roman" w:eastAsia="Times New Roman" w:hAnsi="Times New Roman"/>
          <w:sz w:val="22"/>
          <w:szCs w:val="22"/>
        </w:rPr>
        <w:t xml:space="preserve">The GPT-4 vs human results from Kirinuki and Tanno [3] serve as the historical benchmark for the three reused applications, enabling a direct model-generation comparison. Human suites (per group) serve as the baseline against which all AI suites are compared.</w:t>
      </w:r>
    </w:p>
    <w:p>
      <w:pPr>
        <w:pStyle w:val="Heading3"/>
        <w:spacing w:after="80" w:before="140"/>
      </w:pPr>
      <w:r>
        <w:rPr>
          <w:rFonts w:ascii="Times New Roman" w:cs="Times New Roman" w:eastAsia="Times New Roman" w:hAnsi="Times New Roman"/>
          <w:b/>
          <w:bCs/>
          <w:i/>
          <w:iCs/>
          <w:color w:val="2E5496"/>
          <w:sz w:val="23"/>
          <w:szCs w:val="23"/>
        </w:rPr>
        <w:t xml:space="preserve">Validation strategy</w:t>
      </w:r>
    </w:p>
    <w:p>
      <w:pPr>
        <w:spacing w:after="120" w:before="0" w:line="276"/>
        <w:jc w:val="both"/>
      </w:pPr>
      <w:r>
        <w:rPr>
          <w:rFonts w:ascii="Times New Roman" w:cs="Times New Roman" w:eastAsia="Times New Roman" w:hAnsi="Times New Roman"/>
          <w:sz w:val="22"/>
          <w:szCs w:val="22"/>
        </w:rPr>
        <w:t xml:space="preserve">Viewpoint mapping is performed independently by at least two team members, with disagreements resolved by discussion, to reduce coding bias. Differences between AI and human coverage are tested with the Wilcoxon signed-rank test (exact two-sided, significance at p &lt; 0.05), computed with an in-house implementation validated against a worked example. Because only five applications are available, an application-level pairing (n = 5) is structurally underpowered — even a perfect five-of-five win yields a minimum two-sided p of 1/16 = 0.0625 — so the primary test pairs AI against human coverage at the finer test-viewpoint-category level, which provides sufficient sample size to detect differences while keeping the pairing meaningful. Both pairings are reported for transparency.</w:t>
      </w:r>
    </w:p>
    <w:p>
      <w:pPr>
        <w:pStyle w:val="Heading3"/>
        <w:spacing w:after="80" w:before="140"/>
      </w:pPr>
      <w:r>
        <w:rPr>
          <w:rFonts w:ascii="Times New Roman" w:cs="Times New Roman" w:eastAsia="Times New Roman" w:hAnsi="Times New Roman"/>
          <w:b/>
          <w:bCs/>
          <w:i/>
          <w:iCs/>
          <w:color w:val="2E5496"/>
          <w:sz w:val="23"/>
          <w:szCs w:val="23"/>
        </w:rPr>
        <w:t xml:space="preserve">Ethical Considerations</w:t>
      </w:r>
    </w:p>
    <w:p>
      <w:pPr>
        <w:spacing w:after="120" w:before="0" w:line="276"/>
        <w:jc w:val="both"/>
      </w:pPr>
      <w:r>
        <w:rPr>
          <w:rFonts w:ascii="Times New Roman" w:cs="Times New Roman" w:eastAsia="Times New Roman" w:hAnsi="Times New Roman"/>
          <w:sz w:val="22"/>
          <w:szCs w:val="22"/>
        </w:rPr>
        <w:t xml:space="preserve">The study involves no sensitive personal data. The reused human data are already published in [3]. Student participants contribute test cases voluntarily and are anonymised (labelled A–D). All external sources are cited according to IEEE standards.</w:t>
      </w:r>
    </w:p>
    <w:p>
      <w:pPr>
        <w:pStyle w:val="Heading1"/>
        <w:spacing w:after="120" w:before="240"/>
      </w:pPr>
      <w:r>
        <w:rPr>
          <w:rFonts w:ascii="Times New Roman" w:cs="Times New Roman" w:eastAsia="Times New Roman" w:hAnsi="Times New Roman"/>
          <w:b/>
          <w:bCs/>
          <w:color w:val="1F3864"/>
          <w:sz w:val="28"/>
          <w:szCs w:val="28"/>
        </w:rPr>
        <w:t xml:space="preserve">5. Research Plan</w:t>
      </w:r>
    </w:p>
    <w:tbl>
      <w:tblPr>
        <w:tblW w:type="dxa" w:w="9026"/>
        <w:tblBorders>
          <w:top w:val="single" w:color="94A3B8" w:sz="4"/>
          <w:left w:val="single" w:color="94A3B8" w:sz="4"/>
          <w:bottom w:val="single" w:color="94A3B8" w:sz="4"/>
          <w:right w:val="single" w:color="94A3B8" w:sz="4"/>
          <w:insideH w:val="single" w:color="94A3B8" w:sz="4"/>
          <w:insideV w:val="single" w:color="94A3B8" w:sz="4"/>
        </w:tblBorders>
      </w:tblPr>
      <w:tblGrid>
        <w:gridCol w:w="900"/>
        <w:gridCol w:w="4126"/>
        <w:gridCol w:w="4000"/>
      </w:tblGrid>
      <w:tr>
        <w:trPr>
          <w:tblHeader/>
        </w:trPr>
        <w:tc>
          <w:tcPr>
            <w:tcW w:type="dxa" w:w="9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Week</w:t>
            </w:r>
          </w:p>
        </w:tc>
        <w:tc>
          <w:tcPr>
            <w:tcW w:type="dxa" w:w="41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Activity</w:t>
            </w:r>
          </w:p>
        </w:tc>
        <w:tc>
          <w:tcPr>
            <w:tcW w:type="dxa" w:w="40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Deliverable</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1–2</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Finalise research questions, scope, and reference viewpoints; collect Zenodo specifications</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Approved proposal &amp; specification set</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3–4</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Author two new specifications; derive and cross-review their reference viewpoints</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New specs + validated viewpoint sets</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5–6</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Generate AI test suites (4 LLMs × 5 apps); collect human/student suites</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Raw test-suite corpus</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7–8</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Map every test case to viewpoints in the shared coding sheet (double-coded)</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Completed coding sheet</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9</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Compute coverage metrics with the Python script; run seeded-fault checks</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Metric tables + mutation scores</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10</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Statistical testing (Wilcoxon) and category-level analysis</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Statistical results</w:t>
            </w:r>
          </w:p>
        </w:tc>
      </w:tr>
      <w:tr>
        <w:trPr>
          <w:tblHeader w:val="false"/>
        </w:trPr>
        <w:tc>
          <w:tcPr>
            <w:tcW w:type="dxa" w:w="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11–12</w:t>
            </w:r>
          </w:p>
        </w:tc>
        <w:tc>
          <w:tcPr>
            <w:tcW w:type="dxa" w:w="41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Synthesise findings, write recommendations, finalise report</w:t>
            </w:r>
          </w:p>
        </w:tc>
        <w:tc>
          <w:tcPr>
            <w:tcW w:type="dxa" w:w="4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Final research paper</w:t>
            </w:r>
          </w:p>
        </w:tc>
      </w:tr>
    </w:tbl>
    <w:p>
      <w:pPr>
        <w:spacing w:after="60"/>
      </w:pPr>
    </w:p>
    <w:p>
      <w:pPr>
        <w:pStyle w:val="Heading1"/>
        <w:spacing w:after="120" w:before="240"/>
      </w:pPr>
      <w:r>
        <w:rPr>
          <w:rFonts w:ascii="Times New Roman" w:cs="Times New Roman" w:eastAsia="Times New Roman" w:hAnsi="Times New Roman"/>
          <w:b/>
          <w:bCs/>
          <w:color w:val="1F3864"/>
          <w:sz w:val="28"/>
          <w:szCs w:val="28"/>
        </w:rPr>
        <w:t xml:space="preserve">6. Expected Outcomes</w:t>
      </w:r>
    </w:p>
    <w:p>
      <w:pPr>
        <w:pStyle w:val="Heading3"/>
        <w:spacing w:after="80" w:before="140"/>
      </w:pPr>
      <w:r>
        <w:rPr>
          <w:rFonts w:ascii="Times New Roman" w:cs="Times New Roman" w:eastAsia="Times New Roman" w:hAnsi="Times New Roman"/>
          <w:b/>
          <w:bCs/>
          <w:i/>
          <w:iCs/>
          <w:color w:val="2E5496"/>
          <w:sz w:val="23"/>
          <w:szCs w:val="23"/>
        </w:rPr>
        <w:t xml:space="preserve">Expected findings</w:t>
      </w:r>
    </w:p>
    <w:p>
      <w:pPr>
        <w:spacing w:after="120" w:before="0" w:line="276"/>
        <w:jc w:val="both"/>
      </w:pPr>
      <w:r>
        <w:rPr>
          <w:rFonts w:ascii="Times New Roman" w:cs="Times New Roman" w:eastAsia="Times New Roman" w:hAnsi="Times New Roman"/>
          <w:sz w:val="22"/>
          <w:szCs w:val="22"/>
        </w:rPr>
        <w:t xml:space="preserve">Preliminary results from the completed coding sheet already indicate the following patterns, which the full study will consolidate and test for significance.</w:t>
      </w:r>
    </w:p>
    <w:p>
      <w:pPr>
        <w:spacing w:after="120" w:before="0" w:line="276"/>
        <w:jc w:val="both"/>
      </w:pPr>
      <w:r>
        <w:rPr>
          <w:rFonts w:ascii="Times New Roman" w:cs="Times New Roman" w:eastAsia="Times New Roman" w:hAnsi="Times New Roman"/>
          <w:b/>
          <w:bCs/>
          <w:sz w:val="22"/>
          <w:szCs w:val="22"/>
        </w:rPr>
        <w:t xml:space="preserve">(a) LLMs exceed individual human testers on viewpoint coverage. </w:t>
      </w:r>
      <w:r>
        <w:rPr>
          <w:rFonts w:ascii="Times New Roman" w:cs="Times New Roman" w:eastAsia="Times New Roman" w:hAnsi="Times New Roman"/>
          <w:sz w:val="22"/>
          <w:szCs w:val="22"/>
        </w:rPr>
        <w:t xml:space="preserve">On the three reused applications (105 viewpoints), GPT-5.5 covered 86.7%, Claude Sonnet 4.6 81.9%, and Gemini 3.1 79.0%, while the best single human tester reached 67.6%. On the two new applications (53 viewpoints), ChatGPT-5.5 covered 94.3% and Gemini 3.1 / Sonnet 4.6 88.7%, versus a best single student of 79.2%.</w:t>
      </w:r>
    </w:p>
    <w:p>
      <w:pPr>
        <w:spacing w:after="120" w:before="0" w:line="276"/>
        <w:jc w:val="both"/>
      </w:pPr>
      <w:r>
        <w:rPr>
          <w:rFonts w:ascii="Times New Roman" w:cs="Times New Roman" w:eastAsia="Times New Roman" w:hAnsi="Times New Roman"/>
          <w:b/>
          <w:bCs/>
          <w:sz w:val="22"/>
          <w:szCs w:val="22"/>
        </w:rPr>
        <w:t xml:space="preserve">(b) Human–AI union approaches complete coverage. </w:t>
      </w:r>
      <w:r>
        <w:rPr>
          <w:rFonts w:ascii="Times New Roman" w:cs="Times New Roman" w:eastAsia="Times New Roman" w:hAnsi="Times New Roman"/>
          <w:sz w:val="22"/>
          <w:szCs w:val="22"/>
        </w:rPr>
        <w:t xml:space="preserve">Combined human+AI coverage reached 100% on four of the five applications (94.4–100% AI union; 90.5% human union on the reused set), replicating and strengthening the synergy effect reported in [3].</w:t>
      </w:r>
    </w:p>
    <w:p>
      <w:pPr>
        <w:spacing w:after="120" w:before="0" w:line="276"/>
        <w:jc w:val="both"/>
      </w:pPr>
      <w:r>
        <w:rPr>
          <w:rFonts w:ascii="Times New Roman" w:cs="Times New Roman" w:eastAsia="Times New Roman" w:hAnsi="Times New Roman"/>
          <w:b/>
          <w:bCs/>
          <w:sz w:val="22"/>
          <w:szCs w:val="22"/>
        </w:rPr>
        <w:t xml:space="preserve">(c) New model generations outperform the 2024 GPT-4 baseline. </w:t>
      </w:r>
      <w:r>
        <w:rPr>
          <w:rFonts w:ascii="Times New Roman" w:cs="Times New Roman" w:eastAsia="Times New Roman" w:hAnsi="Times New Roman"/>
          <w:sz w:val="22"/>
          <w:szCs w:val="22"/>
        </w:rPr>
        <w:t xml:space="preserve">The 2023 ChatGPT (GPT-4) baseline covered 67.6% of viewpoints on the reused applications, whereas the newest models covered 79–87%, indicating clear cross-generation improvement.</w:t>
      </w:r>
    </w:p>
    <w:p>
      <w:pPr>
        <w:spacing w:after="120" w:before="0" w:line="276"/>
        <w:jc w:val="both"/>
      </w:pPr>
      <w:r>
        <w:rPr>
          <w:rFonts w:ascii="Times New Roman" w:cs="Times New Roman" w:eastAsia="Times New Roman" w:hAnsi="Times New Roman"/>
          <w:b/>
          <w:bCs/>
          <w:sz w:val="22"/>
          <w:szCs w:val="22"/>
        </w:rPr>
        <w:t xml:space="preserve">(d) Category-level strengths differ from earlier findings. </w:t>
      </w:r>
      <w:r>
        <w:rPr>
          <w:rFonts w:ascii="Times New Roman" w:cs="Times New Roman" w:eastAsia="Times New Roman" w:hAnsi="Times New Roman"/>
          <w:sz w:val="22"/>
          <w:szCs w:val="22"/>
        </w:rPr>
        <w:t xml:space="preserve">Contrary to the earlier suggestion that humans lead on boundary values, current LLMs — especially GPT-5.5 — led on boundary/maximum–minimum categories (e.g., Unit Converter Maximum/Minimum: GPT-5.5 4/4 vs at most 2/4 for any human), while humans retained occasional advantages on a few domain-reasoning viewpoints.</w:t>
      </w:r>
    </w:p>
    <w:p>
      <w:pPr>
        <w:spacing w:after="120" w:before="0" w:line="276"/>
        <w:jc w:val="both"/>
      </w:pPr>
      <w:r>
        <w:rPr>
          <w:rFonts w:ascii="Times New Roman" w:cs="Times New Roman" w:eastAsia="Times New Roman" w:hAnsi="Times New Roman"/>
          <w:b/>
          <w:bCs/>
          <w:sz w:val="22"/>
          <w:szCs w:val="22"/>
        </w:rPr>
        <w:t xml:space="preserve">(e) The AI advantage is statistically significant at the category level. </w:t>
      </w:r>
      <w:r>
        <w:rPr>
          <w:rFonts w:ascii="Times New Roman" w:cs="Times New Roman" w:eastAsia="Times New Roman" w:hAnsi="Times New Roman"/>
          <w:sz w:val="22"/>
          <w:szCs w:val="22"/>
        </w:rPr>
        <w:t xml:space="preserve">A Wilcoxon signed-rank test comparing mean AI and mean human coverage per viewpoint category found AI significantly higher (reused applications: n = 20 non-tied category pairs, W = 15.5, exact two-sided p = 0.0003; all five applications pooled: n = 24, W = 16, p = 0.00002). As expected, the coarser application-level pairing (n = 5) could not reach significance (W = 0, p = 0.0625), because five applications are too few for the test — a methodological point that motivates the category-level analysis.</w:t>
      </w:r>
    </w:p>
    <w:p>
      <w:pPr>
        <w:spacing w:after="120" w:before="0" w:line="276"/>
        <w:jc w:val="both"/>
      </w:pPr>
      <w:r>
        <w:rPr>
          <w:rFonts w:ascii="Times New Roman" w:cs="Times New Roman" w:eastAsia="Times New Roman" w:hAnsi="Times New Roman"/>
          <w:sz w:val="22"/>
          <w:szCs w:val="22"/>
        </w:rPr>
        <w:t xml:space="preserve">Wilcoxon signed-rank test results (AI vs human viewpoint coverage):</w:t>
      </w:r>
    </w:p>
    <w:tbl>
      <w:tblPr>
        <w:tblW w:type="dxa" w:w="8026"/>
        <w:tblBorders>
          <w:top w:val="single" w:color="94A3B8" w:sz="4"/>
          <w:left w:val="single" w:color="94A3B8" w:sz="4"/>
          <w:bottom w:val="single" w:color="94A3B8" w:sz="4"/>
          <w:right w:val="single" w:color="94A3B8" w:sz="4"/>
          <w:insideH w:val="single" w:color="94A3B8" w:sz="4"/>
          <w:insideV w:val="single" w:color="94A3B8" w:sz="4"/>
        </w:tblBorders>
      </w:tblPr>
      <w:tblGrid>
        <w:gridCol w:w="2900"/>
        <w:gridCol w:w="1000"/>
        <w:gridCol w:w="1000"/>
        <w:gridCol w:w="1200"/>
        <w:gridCol w:w="1926"/>
      </w:tblGrid>
      <w:tr>
        <w:trPr>
          <w:tblHeader/>
        </w:trPr>
        <w:tc>
          <w:tcPr>
            <w:tcW w:type="dxa" w:w="29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Pairing unit</w:t>
            </w:r>
          </w:p>
        </w:tc>
        <w:tc>
          <w:tcPr>
            <w:tcW w:type="dxa" w:w="10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0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W</w:t>
            </w:r>
          </w:p>
        </w:tc>
        <w:tc>
          <w:tcPr>
            <w:tcW w:type="dxa" w:w="12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Exact p (2-sided)</w:t>
            </w:r>
          </w:p>
        </w:tc>
        <w:tc>
          <w:tcPr>
            <w:tcW w:type="dxa" w:w="19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Result</w:t>
            </w:r>
          </w:p>
        </w:tc>
      </w:tr>
      <w:tr>
        <w:trPr>
          <w:tblHeader w:val="false"/>
        </w:trPr>
        <w:tc>
          <w:tcPr>
            <w:tcW w:type="dxa" w:w="2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Per application (all 5)</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0.0</w:t>
            </w:r>
          </w:p>
        </w:tc>
        <w:tc>
          <w:tcPr>
            <w:tcW w:type="dxa" w:w="12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0.0625</w:t>
            </w:r>
          </w:p>
        </w:tc>
        <w:tc>
          <w:tcPr>
            <w:tcW w:type="dxa" w:w="19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Not significant (underpowered)</w:t>
            </w:r>
          </w:p>
        </w:tc>
      </w:tr>
      <w:tr>
        <w:trPr>
          <w:tblHeader w:val="false"/>
        </w:trPr>
        <w:tc>
          <w:tcPr>
            <w:tcW w:type="dxa" w:w="2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Per category (reused apps)</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20</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15.5</w:t>
            </w:r>
          </w:p>
        </w:tc>
        <w:tc>
          <w:tcPr>
            <w:tcW w:type="dxa" w:w="12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0.0003</w:t>
            </w:r>
          </w:p>
        </w:tc>
        <w:tc>
          <w:tcPr>
            <w:tcW w:type="dxa" w:w="19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Significant, AI &gt; human</w:t>
            </w:r>
          </w:p>
        </w:tc>
      </w:tr>
      <w:tr>
        <w:trPr>
          <w:tblHeader w:val="false"/>
        </w:trPr>
        <w:tc>
          <w:tcPr>
            <w:tcW w:type="dxa" w:w="29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Per category (all 5 apps)</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24</w:t>
            </w:r>
          </w:p>
        </w:tc>
        <w:tc>
          <w:tcPr>
            <w:tcW w:type="dxa" w:w="10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16.0</w:t>
            </w:r>
          </w:p>
        </w:tc>
        <w:tc>
          <w:tcPr>
            <w:tcW w:type="dxa" w:w="12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0.00002</w:t>
            </w:r>
          </w:p>
        </w:tc>
        <w:tc>
          <w:tcPr>
            <w:tcW w:type="dxa" w:w="19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Significant, AI &gt; human</w:t>
            </w:r>
          </w:p>
        </w:tc>
      </w:tr>
    </w:tbl>
    <w:p>
      <w:pPr>
        <w:spacing w:after="60"/>
      </w:pPr>
    </w:p>
    <w:p>
      <w:pPr>
        <w:spacing w:after="120" w:before="0" w:line="276"/>
        <w:jc w:val="both"/>
      </w:pPr>
      <w:r>
        <w:rPr>
          <w:rFonts w:ascii="Times New Roman" w:cs="Times New Roman" w:eastAsia="Times New Roman" w:hAnsi="Times New Roman"/>
          <w:sz w:val="22"/>
          <w:szCs w:val="22"/>
        </w:rPr>
        <w:t xml:space="preserve">Illustrative aggregate coverage (viewpoints covered / total):</w:t>
      </w:r>
    </w:p>
    <w:tbl>
      <w:tblPr>
        <w:tblW w:type="dxa" w:w="9026"/>
        <w:tblBorders>
          <w:top w:val="single" w:color="94A3B8" w:sz="4"/>
          <w:left w:val="single" w:color="94A3B8" w:sz="4"/>
          <w:bottom w:val="single" w:color="94A3B8" w:sz="4"/>
          <w:right w:val="single" w:color="94A3B8" w:sz="4"/>
          <w:insideH w:val="single" w:color="94A3B8" w:sz="4"/>
          <w:insideV w:val="single" w:color="94A3B8" w:sz="4"/>
        </w:tblBorders>
      </w:tblPr>
      <w:tblGrid>
        <w:gridCol w:w="3626"/>
        <w:gridCol w:w="1350"/>
        <w:gridCol w:w="1350"/>
        <w:gridCol w:w="1350"/>
        <w:gridCol w:w="1350"/>
      </w:tblGrid>
      <w:tr>
        <w:trPr>
          <w:tblHeader/>
        </w:trPr>
        <w:tc>
          <w:tcPr>
            <w:tcW w:type="dxa" w:w="3626"/>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Source</w:t>
            </w:r>
          </w:p>
        </w:tc>
        <w:tc>
          <w:tcPr>
            <w:tcW w:type="dxa" w:w="135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Reused (105)</w:t>
            </w:r>
          </w:p>
        </w:tc>
        <w:tc>
          <w:tcPr>
            <w:tcW w:type="dxa" w:w="135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w:t>
            </w:r>
          </w:p>
        </w:tc>
        <w:tc>
          <w:tcPr>
            <w:tcW w:type="dxa" w:w="135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New (53)</w:t>
            </w:r>
          </w:p>
        </w:tc>
        <w:tc>
          <w:tcPr>
            <w:tcW w:type="dxa" w:w="135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GPT-5.5</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91</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86.7</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Claude Sonnet 4.6</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86</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81.9</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47</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88.7</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Gemini 3.1</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83</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79.0</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47</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88.7</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ChatGPT (GPT-4 / 5.5)</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71</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67.6</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50</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94.3</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Best single human/student</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71</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67.6</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42</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79.2</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AI union</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99</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94.3</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50</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94.3</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Human union</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95</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90.5</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50</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94.3</w:t>
            </w:r>
          </w:p>
        </w:tc>
      </w:tr>
      <w:tr>
        <w:trPr>
          <w:tblHeader w:val="false"/>
        </w:trPr>
        <w:tc>
          <w:tcPr>
            <w:tcW w:type="dxa" w:w="3626"/>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Human + AI combined</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105</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100.0</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52</w:t>
            </w:r>
          </w:p>
        </w:tc>
        <w:tc>
          <w:tcPr>
            <w:tcW w:type="dxa" w:w="135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98.1</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Expected system/model performance</w:t>
      </w:r>
    </w:p>
    <w:p>
      <w:pPr>
        <w:spacing w:after="120" w:before="0" w:line="276"/>
        <w:jc w:val="both"/>
      </w:pPr>
      <w:r>
        <w:rPr>
          <w:rFonts w:ascii="Times New Roman" w:cs="Times New Roman" w:eastAsia="Times New Roman" w:hAnsi="Times New Roman"/>
          <w:sz w:val="22"/>
          <w:szCs w:val="22"/>
        </w:rPr>
        <w:t xml:space="preserve">We expect the study to confirm functional viewpoint coverage above 85% for at least one current model on every application, and to quantify the manual-effort gap: human testers in the reused set spent on average about 198 minutes designing suites for three applications, effort that AI generation reduces to a single prompt per application.</w:t>
      </w:r>
    </w:p>
    <w:p>
      <w:pPr>
        <w:pStyle w:val="Heading3"/>
        <w:spacing w:after="80" w:before="140"/>
      </w:pPr>
      <w:r>
        <w:rPr>
          <w:rFonts w:ascii="Times New Roman" w:cs="Times New Roman" w:eastAsia="Times New Roman" w:hAnsi="Times New Roman"/>
          <w:b/>
          <w:bCs/>
          <w:i/>
          <w:iCs/>
          <w:color w:val="2E5496"/>
          <w:sz w:val="23"/>
          <w:szCs w:val="23"/>
        </w:rPr>
        <w:t xml:space="preserve">Anticipated contributions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An updated, reproducible comparison of AI-generated vs human-authored black-box suites spanning multiple model generations and five applications.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category-level map of where current LLMs and human testers respectively excel or fail in black-box test design.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viewpoint-based evaluation framework and open coding sheet for assessing AI-generated test quality beyond aggregate coverage.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Practitioner guidelines for adopting AI-assisted black-box testing as a complement to, rather than a replacement for, human review.</w:t>
      </w:r>
    </w:p>
    <w:p>
      <w:pPr>
        <w:pStyle w:val="Heading1"/>
        <w:spacing w:after="120" w:before="240"/>
      </w:pPr>
      <w:r>
        <w:rPr>
          <w:rFonts w:ascii="Times New Roman" w:cs="Times New Roman" w:eastAsia="Times New Roman" w:hAnsi="Times New Roman"/>
          <w:b/>
          <w:bCs/>
          <w:color w:val="1F3864"/>
          <w:sz w:val="28"/>
          <w:szCs w:val="28"/>
        </w:rPr>
        <w:t xml:space="preserve">7. Limitations and Risk</w:t>
      </w:r>
    </w:p>
    <w:p>
      <w:pPr>
        <w:pStyle w:val="Heading3"/>
        <w:spacing w:after="80" w:before="140"/>
      </w:pPr>
      <w:r>
        <w:rPr>
          <w:rFonts w:ascii="Times New Roman" w:cs="Times New Roman" w:eastAsia="Times New Roman" w:hAnsi="Times New Roman"/>
          <w:b/>
          <w:bCs/>
          <w:i/>
          <w:iCs/>
          <w:color w:val="2E5496"/>
          <w:sz w:val="23"/>
          <w:szCs w:val="23"/>
        </w:rPr>
        <w:t xml:space="preserve">7.1 Limitations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Non-equivalent human baselines. </w:t>
      </w:r>
      <w:r>
        <w:rPr>
          <w:rFonts w:ascii="Times New Roman" w:cs="Times New Roman" w:eastAsia="Times New Roman" w:hAnsi="Times New Roman"/>
          <w:sz w:val="22"/>
          <w:szCs w:val="22"/>
        </w:rPr>
        <w:t xml:space="preserve">The human data for the three reused applications come from non-expert engineers [3], whereas the two new applications use third-year students. The two groups are reported separately and never pooled; the shared property that both are non-experts in black-box test design partially mitigates, but does not remove, the difference.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Small and uneven student baseline. </w:t>
      </w:r>
      <w:r>
        <w:rPr>
          <w:rFonts w:ascii="Times New Roman" w:cs="Times New Roman" w:eastAsia="Times New Roman" w:hAnsi="Times New Roman"/>
          <w:sz w:val="22"/>
          <w:szCs w:val="22"/>
        </w:rPr>
        <w:t xml:space="preserve">The new applications rely on only three student testers, one of whom (Student C) covered comparatively few viewpoints (e.g., 20.7% on Task Manager). This weakens the human baseline for the new applications; the affected results are flagged, and low-coverage submissions are reported explicitly rather than averaged away.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Subjectivity of viewpoint mapping. </w:t>
      </w:r>
      <w:r>
        <w:rPr>
          <w:rFonts w:ascii="Times New Roman" w:cs="Times New Roman" w:eastAsia="Times New Roman" w:hAnsi="Times New Roman"/>
          <w:sz w:val="22"/>
          <w:szCs w:val="22"/>
        </w:rPr>
        <w:t xml:space="preserve">Mapping test cases to viewpoints involves judgement; double-coding reduces but does not eliminate this threat.</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Coverage vs correctness. </w:t>
      </w:r>
      <w:r>
        <w:rPr>
          <w:rFonts w:ascii="Times New Roman" w:cs="Times New Roman" w:eastAsia="Times New Roman" w:hAnsi="Times New Roman"/>
          <w:sz w:val="22"/>
          <w:szCs w:val="22"/>
        </w:rPr>
        <w:t xml:space="preserve">Viewpoint coverage measures breadth, not assertion correctness; the seeded-fault analysis only partially addresses defect-detection ability.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Model and prompt volatility. </w:t>
      </w:r>
      <w:r>
        <w:rPr>
          <w:rFonts w:ascii="Times New Roman" w:cs="Times New Roman" w:eastAsia="Times New Roman" w:hAnsi="Times New Roman"/>
          <w:sz w:val="22"/>
          <w:szCs w:val="22"/>
        </w:rPr>
        <w:t xml:space="preserve">Results are tied to specific model versions and a fixed prompt; different versions or prompting strategies may yield different outcomes.</w:t>
      </w:r>
    </w:p>
    <w:p>
      <w:pPr>
        <w:pStyle w:val="Heading3"/>
        <w:spacing w:after="80" w:before="140"/>
      </w:pPr>
      <w:r>
        <w:rPr>
          <w:rFonts w:ascii="Times New Roman" w:cs="Times New Roman" w:eastAsia="Times New Roman" w:hAnsi="Times New Roman"/>
          <w:b/>
          <w:bCs/>
          <w:i/>
          <w:iCs/>
          <w:color w:val="2E5496"/>
          <w:sz w:val="23"/>
          <w:szCs w:val="23"/>
        </w:rPr>
        <w:t xml:space="preserve">7.2 Risk and mitigation</w:t>
      </w:r>
    </w:p>
    <w:tbl>
      <w:tblPr>
        <w:tblW w:type="dxa" w:w="9026"/>
        <w:tblBorders>
          <w:top w:val="single" w:color="94A3B8" w:sz="4"/>
          <w:left w:val="single" w:color="94A3B8" w:sz="4"/>
          <w:bottom w:val="single" w:color="94A3B8" w:sz="4"/>
          <w:right w:val="single" w:color="94A3B8" w:sz="4"/>
          <w:insideH w:val="single" w:color="94A3B8" w:sz="4"/>
          <w:insideV w:val="single" w:color="94A3B8" w:sz="4"/>
        </w:tblBorders>
      </w:tblPr>
      <w:tblGrid>
        <w:gridCol w:w="2600"/>
        <w:gridCol w:w="3213"/>
        <w:gridCol w:w="3213"/>
      </w:tblGrid>
      <w:tr>
        <w:trPr>
          <w:tblHeader/>
        </w:trPr>
        <w:tc>
          <w:tcPr>
            <w:tcW w:type="dxa" w:w="26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Risk</w:t>
            </w:r>
          </w:p>
        </w:tc>
        <w:tc>
          <w:tcPr>
            <w:tcW w:type="dxa" w:w="3213"/>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Impact</w:t>
            </w:r>
          </w:p>
        </w:tc>
        <w:tc>
          <w:tcPr>
            <w:tcW w:type="dxa" w:w="3213"/>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Mitigation</w:t>
            </w:r>
          </w:p>
        </w:tc>
      </w:tr>
      <w:tr>
        <w:trPr>
          <w:tblHeader w:val="false"/>
        </w:trPr>
        <w:tc>
          <w:tcPr>
            <w:tcW w:type="dxa" w:w="26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Baseline skew from mixed human groups</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Invalid AI-vs-human conclusions</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Report groups separately; add an experienced tester as an optional anchor on the new specifications</w:t>
            </w:r>
          </w:p>
        </w:tc>
      </w:tr>
      <w:tr>
        <w:trPr>
          <w:tblHeader w:val="false"/>
        </w:trPr>
        <w:tc>
          <w:tcPr>
            <w:tcW w:type="dxa" w:w="26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Coding bias in viewpoint mapping</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Inflated or deflated coverage</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Independent double-coding with arbitration</w:t>
            </w:r>
          </w:p>
        </w:tc>
      </w:tr>
      <w:tr>
        <w:trPr>
          <w:tblHeader w:val="false"/>
        </w:trPr>
        <w:tc>
          <w:tcPr>
            <w:tcW w:type="dxa" w:w="26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Metric incompatibility with [3]</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Non-comparable results</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Reuse the exact reference viewpoints and coverage definition from [3] for the reused applications</w:t>
            </w:r>
          </w:p>
        </w:tc>
      </w:tr>
      <w:tr>
        <w:trPr>
          <w:tblHeader w:val="false"/>
        </w:trPr>
        <w:tc>
          <w:tcPr>
            <w:tcW w:type="dxa" w:w="26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Model/version drift</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Non-reproducibility</w:t>
            </w:r>
          </w:p>
        </w:tc>
        <w:tc>
          <w:tcPr>
            <w:tcW w:type="dxa" w:w="3213"/>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Record model versions, dates, and full prompts in the repository</w:t>
            </w:r>
          </w:p>
        </w:tc>
      </w:tr>
    </w:tbl>
    <w:p>
      <w:pPr>
        <w:spacing w:after="60"/>
      </w:pPr>
    </w:p>
    <w:p>
      <w:pPr>
        <w:pStyle w:val="Heading1"/>
        <w:spacing w:after="120" w:before="240"/>
      </w:pPr>
      <w:r>
        <w:rPr>
          <w:rFonts w:ascii="Times New Roman" w:cs="Times New Roman" w:eastAsia="Times New Roman" w:hAnsi="Times New Roman"/>
          <w:b/>
          <w:bCs/>
          <w:color w:val="1F3864"/>
          <w:sz w:val="28"/>
          <w:szCs w:val="28"/>
        </w:rPr>
        <w:t xml:space="preserve">References</w:t>
      </w:r>
    </w:p>
    <w:p>
      <w:pPr>
        <w:pStyle w:val="ListParagraph"/>
        <w:numPr>
          <w:ilvl w:val="0"/>
          <w:numId w:val="4"/>
        </w:numPr>
        <w:spacing w:after="40" w:line="260"/>
        <w:jc w:val="both"/>
      </w:pPr>
      <w:r>
        <w:rPr>
          <w:rFonts w:ascii="Times New Roman" w:cs="Times New Roman" w:eastAsia="Times New Roman" w:hAnsi="Times New Roman"/>
          <w:sz w:val="20"/>
          <w:szCs w:val="20"/>
        </w:rPr>
        <w:t xml:space="preserve">K. Jain, G. Synnaeve, and B. Rozière, “TestGenEval: A Real World Unit Test Generation and Test Completion Benchmark,” arXiv preprint arXiv:2410.00752,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A. Licorish, A. Bajpai, C. Arora, F. Wang, and K. Tantithamthavorn, “Comparing Human and LLM Generated Code: The Jury is Still Out!,”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H. Kirinuki and H. Tanno, “ChatGPT and Human Synergy in Black-Box Testing: A Comparative Analysis,” arXiv preprint arXiv:2401.13924,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A. Adham, H. Omar, and M. Hesham, “Comparative Study on Test Case Generation Using Generative AI,” in Proc. IEEE Conference,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Z. Yuan, Y. Lou, M. Liu, S. Ding, K. Wang, Y. Chen, and X. Peng, “No More Manual Tests? Evaluating and Improving ChatGPT for Unit Test Generation,” arXiv preprint arXiv:2305.04207,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Bhatia, T. Gandhi, D. Kumar, and P. Jalote, “Unit Test Generation Using Generative AI: A Comparative Performance Analysis of Autogeneration Tools,” arXiv preprint arXiv:2312.10622,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L. Plein, W. C. Ouédraogo, J. Klein, and T. F. Bissyandé, “Automatic Generation of Test Cases Based on Bug Reports: A Feasibility Study with Large Language Models,” arXiv preprint arXiv:2310.06320, 2023.</w:t>
      </w:r>
    </w:p>
    <w:p>
      <w:pPr>
        <w:pStyle w:val="ListParagraph"/>
        <w:numPr>
          <w:ilvl w:val="0"/>
          <w:numId w:val="4"/>
        </w:numPr>
        <w:spacing w:after="40" w:line="260"/>
        <w:jc w:val="both"/>
      </w:pPr>
      <w:r>
        <w:rPr>
          <w:rFonts w:ascii="Times New Roman" w:cs="Times New Roman" w:eastAsia="Times New Roman" w:hAnsi="Times New Roman"/>
          <w:sz w:val="20"/>
          <w:szCs w:val="20"/>
        </w:rPr>
        <w:t xml:space="preserve">E. Viglianisi, M. Dallago, and M. Ceccato, “RESTTESTGEN: Automated Black-Box Testing of RESTful APIs,” 2023.</w:t>
      </w:r>
    </w:p>
    <w:p>
      <w:pPr>
        <w:pStyle w:val="ListParagraph"/>
        <w:numPr>
          <w:ilvl w:val="0"/>
          <w:numId w:val="4"/>
        </w:numPr>
        <w:spacing w:after="40" w:line="260"/>
        <w:jc w:val="both"/>
      </w:pPr>
      <w:r>
        <w:rPr>
          <w:rFonts w:ascii="Times New Roman" w:cs="Times New Roman" w:eastAsia="Times New Roman" w:hAnsi="Times New Roman"/>
          <w:sz w:val="20"/>
          <w:szCs w:val="20"/>
        </w:rPr>
        <w:t xml:space="preserve">J. M. Zhang, L. Zhang, D. Hao, M. Wang, and L. Zhang, “Do Pseudo Test Suites Lead to Inflated Correlation in Measuring Test Effectiveness?,” 2019.</w:t>
      </w:r>
    </w:p>
    <w:p>
      <w:pPr>
        <w:pStyle w:val="ListParagraph"/>
        <w:numPr>
          <w:ilvl w:val="0"/>
          <w:numId w:val="4"/>
        </w:numPr>
        <w:spacing w:after="40" w:line="260"/>
        <w:jc w:val="both"/>
      </w:pPr>
      <w:r>
        <w:rPr>
          <w:rFonts w:ascii="Times New Roman" w:cs="Times New Roman" w:eastAsia="Times New Roman" w:hAnsi="Times New Roman"/>
          <w:sz w:val="20"/>
          <w:szCs w:val="20"/>
        </w:rPr>
        <w:t xml:space="preserve">R. Pan, T. A. Ghaleb, and L. Briand, “ATM: Black-Box Test Case Minimization Based on Test Code Similarity and Evolutionary Search,” arXiv preprint arXiv:2210.16269, 2022.</w:t>
      </w:r>
    </w:p>
    <w:p>
      <w:pPr>
        <w:pStyle w:val="ListParagraph"/>
        <w:numPr>
          <w:ilvl w:val="0"/>
          <w:numId w:val="4"/>
        </w:numPr>
        <w:spacing w:after="40" w:line="260"/>
        <w:jc w:val="both"/>
      </w:pPr>
      <w:r>
        <w:rPr>
          <w:rFonts w:ascii="Times New Roman" w:cs="Times New Roman" w:eastAsia="Times New Roman" w:hAnsi="Times New Roman"/>
          <w:sz w:val="20"/>
          <w:szCs w:val="20"/>
        </w:rPr>
        <w:t xml:space="preserve">A. Mughees et al., “Using Large Language Models for Black-Box Testing of FMU-Based Simulations,” arXiv preprint arXiv:2604.25650, 2026.</w:t>
      </w:r>
    </w:p>
    <w:p>
      <w:pPr>
        <w:pStyle w:val="ListParagraph"/>
        <w:numPr>
          <w:ilvl w:val="0"/>
          <w:numId w:val="4"/>
        </w:numPr>
        <w:spacing w:after="40" w:line="260"/>
        <w:jc w:val="both"/>
      </w:pPr>
      <w:r>
        <w:rPr>
          <w:rFonts w:ascii="Times New Roman" w:cs="Times New Roman" w:eastAsia="Times New Roman" w:hAnsi="Times New Roman"/>
          <w:sz w:val="20"/>
          <w:szCs w:val="20"/>
        </w:rPr>
        <w:t xml:space="preserve">M. Neelapu, “Enhancing Software Testing Efficiency with Generative AI and Large Language Models,” International Journal of Latest Research in Science and Technology,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Yoshimoto, S. Fujita, K. Horikawa, D. Feitosa, Y. Kashiwa, and H. Iida, “Testing with AI Agents: An Empirical Study of Test Generation Frequency, Quality, and Coverage,” arXiv preprint arXiv:2603.13724, 2026.</w:t>
      </w:r>
    </w:p>
    <w:p>
      <w:pPr>
        <w:pStyle w:val="ListParagraph"/>
        <w:numPr>
          <w:ilvl w:val="0"/>
          <w:numId w:val="4"/>
        </w:numPr>
        <w:spacing w:after="40" w:line="260"/>
        <w:jc w:val="both"/>
      </w:pPr>
      <w:r>
        <w:rPr>
          <w:rFonts w:ascii="Times New Roman" w:cs="Times New Roman" w:eastAsia="Times New Roman" w:hAnsi="Times New Roman"/>
          <w:sz w:val="20"/>
          <w:szCs w:val="20"/>
        </w:rPr>
        <w:t xml:space="preserve">A. Mishra, “Generative AI in Automated Software Testing: A Comparative Study,” International Journal of Science and Technology,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Dascalescu, D. A. Marius, and M. A. Vasiluta, “Leveraging Generative AI for Enhancing Automated Assessment in Programming Education Contests,” arXiv preprint arXiv:2506.05990,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Shankar, J. D. Zamfirescu-Pereira, B. Hartmann, A. G. Parameswaran, and I. Arawjo, “Who Validates the Validators? Aligning LLM-Assisted Evaluation of LLM Outputs with Human Preferences,” arXiv preprint arXiv:2404.12272, 2024.</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Masuda et al., “Generating High-Level Test Cases from Requirements Using LLM: An Industry Study,” arXiv preprint arXiv:2510.03641,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W. Wang et al., “TESTEVAL: Benchmarking Large Language Models for Test Case Generation,” in Findings of NAACL,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M. D. Santana, C. Magalhaes, and R. de Souza Santos, “Software Testing with Large Language Models: An Interview Study with Practitioners,” arXiv preprint arXiv:2510.17164,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 R. R. dos Santos et al., “Automated Test Generation Using LLM Based on BDD: A Comparative Study,” in Proc. ICEIS,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M. Boukhlif, N. Kharmoum, M. Hanine, and S. N. Lagmiri, “Using LLMs to Analyze Software Requirements for Software Testing: A Comparative Study,”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A. Guzu, G. Nicolae, H. Cucu, and C. Burileanu, “Large Language Models for C Test Case Generation: A Comparative Analysis,” Electronics, vol. 14, no. 11,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R. Santos, I. Santos, C. Magalhaes, and R. de Souza Santos, “Are We Testing or Being Tested? Exploring Practical Applications of LLMs in Software Testing,” arXiv preprint arXiv:2312.04860, 2023.</w:t>
      </w:r>
    </w:p>
    <w:p>
      <w:pPr>
        <w:pStyle w:val="ListParagraph"/>
        <w:numPr>
          <w:ilvl w:val="0"/>
          <w:numId w:val="4"/>
        </w:numPr>
        <w:spacing w:after="40" w:line="260"/>
        <w:jc w:val="both"/>
      </w:pPr>
      <w:r>
        <w:rPr>
          <w:rFonts w:ascii="Times New Roman" w:cs="Times New Roman" w:eastAsia="Times New Roman" w:hAnsi="Times New Roman"/>
          <w:sz w:val="20"/>
          <w:szCs w:val="20"/>
        </w:rPr>
        <w:t xml:space="preserve">P. Han, Y. Chen, and J. Wang, “TriGen: A Semantic-Feedback Collaborative LLM Test Case Generation Model,” IEEE, 2025.</w:t>
      </w:r>
    </w:p>
    <w:p>
      <w:pPr>
        <w:pStyle w:val="ListParagraph"/>
        <w:numPr>
          <w:ilvl w:val="0"/>
          <w:numId w:val="4"/>
        </w:numPr>
        <w:spacing w:after="40" w:line="260"/>
        <w:jc w:val="both"/>
      </w:pPr>
      <w:r>
        <w:rPr>
          <w:rFonts w:ascii="Times New Roman" w:cs="Times New Roman" w:eastAsia="Times New Roman" w:hAnsi="Times New Roman"/>
          <w:sz w:val="20"/>
          <w:szCs w:val="20"/>
        </w:rPr>
        <w:t xml:space="preserve">Suhas and C. Hegde, “A Comparative Analysis of AI-Driven Black-Box Testing Techniques,” International Journal of Research in Engineering and Science, vol. 13, no. 10, 2025.</w:t>
      </w:r>
    </w:p>
    <w:p>
      <w:pPr>
        <w:sectPr>
          <w:footerReference w:type="default" r:id="rId7"/>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color w:val="1F3864"/>
          <w:sz w:val="28"/>
          <w:szCs w:val="28"/>
        </w:rPr>
        <w:t xml:space="preserve">Appendix A. Per-Category Viewpoint Coverage</w:t>
      </w:r>
    </w:p>
    <w:p>
      <w:pPr>
        <w:spacing w:after="120" w:before="0" w:line="276"/>
        <w:jc w:val="both"/>
      </w:pPr>
      <w:r>
        <w:rPr>
          <w:rFonts w:ascii="Times New Roman" w:cs="Times New Roman" w:eastAsia="Times New Roman" w:hAnsi="Times New Roman"/>
          <w:sz w:val="22"/>
          <w:szCs w:val="22"/>
        </w:rPr>
        <w:t xml:space="preserve">Each cell shows the number of reference viewpoints in that category covered by the source (covered / N). AI models and human/student testers are listed as separate columns. Data are computed directly from the coding sheet by analyze_viewpoints.py.</w:t>
      </w:r>
    </w:p>
    <w:p>
      <w:pPr>
        <w:pStyle w:val="Heading3"/>
        <w:spacing w:after="80" w:before="140"/>
      </w:pPr>
      <w:r>
        <w:rPr>
          <w:rFonts w:ascii="Times New Roman" w:cs="Times New Roman" w:eastAsia="Times New Roman" w:hAnsi="Times New Roman"/>
          <w:b/>
          <w:bCs/>
          <w:i/>
          <w:iCs/>
          <w:color w:val="2E5496"/>
          <w:sz w:val="23"/>
          <w:szCs w:val="23"/>
        </w:rPr>
        <w:t xml:space="preserve">Password strength checker  (total viewpoints: 36)</w:t>
      </w:r>
    </w:p>
    <w:tbl>
      <w:tblPr>
        <w:tblW w:type="dxa" w:w="13952"/>
        <w:tblBorders>
          <w:top w:val="single" w:color="94A3B8" w:sz="4"/>
          <w:left w:val="single" w:color="94A3B8" w:sz="4"/>
          <w:bottom w:val="single" w:color="94A3B8" w:sz="4"/>
          <w:right w:val="single" w:color="94A3B8" w:sz="4"/>
          <w:insideH w:val="single" w:color="94A3B8" w:sz="4"/>
          <w:insideV w:val="single" w:color="94A3B8" w:sz="4"/>
        </w:tblBorders>
      </w:tblPr>
      <w:tblGrid>
        <w:gridCol w:w="3100"/>
        <w:gridCol w:w="500"/>
        <w:gridCol w:w="1294"/>
        <w:gridCol w:w="1294"/>
        <w:gridCol w:w="1294"/>
        <w:gridCol w:w="1294"/>
        <w:gridCol w:w="1294"/>
        <w:gridCol w:w="1294"/>
        <w:gridCol w:w="1294"/>
        <w:gridCol w:w="1294"/>
      </w:tblGrid>
      <w:tr>
        <w:trPr>
          <w:tblHeader/>
        </w:trPr>
        <w:tc>
          <w:tcPr>
            <w:tcW w:type="dxa" w:w="31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Category</w:t>
            </w:r>
          </w:p>
        </w:tc>
        <w:tc>
          <w:tcPr>
            <w:tcW w:type="dxa" w:w="5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GPT5.5</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Sonnet</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Gemini</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ChatGPT4</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H-A</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H-B</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H-C</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H-D</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Very Weak judgment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Weak judgment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Medium judgment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Strong judgment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Very Strong judgment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Boundary Value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Minimum &amp; Maximum</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Character Type Combinations</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Inappropriate Strings</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Others</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Unit converter  (total viewpoints: 29)</w:t>
      </w:r>
    </w:p>
    <w:tbl>
      <w:tblPr>
        <w:tblW w:type="dxa" w:w="13952"/>
        <w:tblBorders>
          <w:top w:val="single" w:color="94A3B8" w:sz="4"/>
          <w:left w:val="single" w:color="94A3B8" w:sz="4"/>
          <w:bottom w:val="single" w:color="94A3B8" w:sz="4"/>
          <w:right w:val="single" w:color="94A3B8" w:sz="4"/>
          <w:insideH w:val="single" w:color="94A3B8" w:sz="4"/>
          <w:insideV w:val="single" w:color="94A3B8" w:sz="4"/>
        </w:tblBorders>
      </w:tblPr>
      <w:tblGrid>
        <w:gridCol w:w="3100"/>
        <w:gridCol w:w="500"/>
        <w:gridCol w:w="1294"/>
        <w:gridCol w:w="1294"/>
        <w:gridCol w:w="1294"/>
        <w:gridCol w:w="1294"/>
        <w:gridCol w:w="1294"/>
        <w:gridCol w:w="1294"/>
        <w:gridCol w:w="1294"/>
        <w:gridCol w:w="1294"/>
      </w:tblGrid>
      <w:tr>
        <w:trPr>
          <w:tblHeader/>
        </w:trPr>
        <w:tc>
          <w:tcPr>
            <w:tcW w:type="dxa" w:w="31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Category</w:t>
            </w:r>
          </w:p>
        </w:tc>
        <w:tc>
          <w:tcPr>
            <w:tcW w:type="dxa" w:w="5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GPT5.5</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Sonnet</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Gemini</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ChatGPT4</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H-A</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H-B</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H-C</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H-D</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Combination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Unit Error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Value Variation (Common)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Value Error (Common)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Length Error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Temperature Variation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Temperature Error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Argument Format Error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Maximum/Minimum</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Budget planner  (total viewpoints: 40)</w:t>
      </w:r>
    </w:p>
    <w:tbl>
      <w:tblPr>
        <w:tblW w:type="dxa" w:w="13952"/>
        <w:tblBorders>
          <w:top w:val="single" w:color="94A3B8" w:sz="4"/>
          <w:left w:val="single" w:color="94A3B8" w:sz="4"/>
          <w:bottom w:val="single" w:color="94A3B8" w:sz="4"/>
          <w:right w:val="single" w:color="94A3B8" w:sz="4"/>
          <w:insideH w:val="single" w:color="94A3B8" w:sz="4"/>
          <w:insideV w:val="single" w:color="94A3B8" w:sz="4"/>
        </w:tblBorders>
      </w:tblPr>
      <w:tblGrid>
        <w:gridCol w:w="3100"/>
        <w:gridCol w:w="500"/>
        <w:gridCol w:w="1294"/>
        <w:gridCol w:w="1294"/>
        <w:gridCol w:w="1294"/>
        <w:gridCol w:w="1294"/>
        <w:gridCol w:w="1294"/>
        <w:gridCol w:w="1294"/>
        <w:gridCol w:w="1294"/>
        <w:gridCol w:w="1294"/>
      </w:tblGrid>
      <w:tr>
        <w:trPr>
          <w:tblHeader/>
        </w:trPr>
        <w:tc>
          <w:tcPr>
            <w:tcW w:type="dxa" w:w="31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Category</w:t>
            </w:r>
          </w:p>
        </w:tc>
        <w:tc>
          <w:tcPr>
            <w:tcW w:type="dxa" w:w="5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GPT5.5</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Sonnet</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Gemini</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ChatGPT4</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H-A</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H-B</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H-C</w:t>
            </w:r>
          </w:p>
        </w:tc>
        <w:tc>
          <w:tcPr>
            <w:tcW w:type="dxa" w:w="1294"/>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H-D</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add-income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add-expense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remove-income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remove-expense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list-income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list-expense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Basic Viewpoint: show-budget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Amount Input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Source Input</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Internal State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Maximum Value</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Budget Calculation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6</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0</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c>
          <w:tcPr>
            <w:tcW w:type="dxa" w:w="1294"/>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Library fine calculator  (total viewpoints: 24)</w:t>
      </w:r>
    </w:p>
    <w:tbl>
      <w:tblPr>
        <w:tblW w:type="dxa" w:w="13956"/>
        <w:tblBorders>
          <w:top w:val="single" w:color="94A3B8" w:sz="4"/>
          <w:left w:val="single" w:color="94A3B8" w:sz="4"/>
          <w:bottom w:val="single" w:color="94A3B8" w:sz="4"/>
          <w:right w:val="single" w:color="94A3B8" w:sz="4"/>
          <w:insideH w:val="single" w:color="94A3B8" w:sz="4"/>
          <w:insideV w:val="single" w:color="94A3B8" w:sz="4"/>
        </w:tblBorders>
      </w:tblPr>
      <w:tblGrid>
        <w:gridCol w:w="3100"/>
        <w:gridCol w:w="500"/>
        <w:gridCol w:w="1726"/>
        <w:gridCol w:w="1726"/>
        <w:gridCol w:w="1726"/>
        <w:gridCol w:w="1726"/>
        <w:gridCol w:w="1726"/>
        <w:gridCol w:w="1726"/>
      </w:tblGrid>
      <w:tr>
        <w:trPr>
          <w:tblHeader/>
        </w:trPr>
        <w:tc>
          <w:tcPr>
            <w:tcW w:type="dxa" w:w="31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Category</w:t>
            </w:r>
          </w:p>
        </w:tc>
        <w:tc>
          <w:tcPr>
            <w:tcW w:type="dxa" w:w="5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Sonnet</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Gemini</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ChatGPT45</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S-A</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S-B</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S-C</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Fine Calculation Rules</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14</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14</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14</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14</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11</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CLI Input Validation</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w:t>
            </w:r>
          </w:p>
        </w:tc>
      </w:tr>
    </w:tbl>
    <w:p>
      <w:pPr>
        <w:spacing w:after="60"/>
      </w:pPr>
    </w:p>
    <w:p>
      <w:pPr>
        <w:pStyle w:val="Heading3"/>
        <w:spacing w:after="80" w:before="140"/>
      </w:pPr>
      <w:r>
        <w:rPr>
          <w:rFonts w:ascii="Times New Roman" w:cs="Times New Roman" w:eastAsia="Times New Roman" w:hAnsi="Times New Roman"/>
          <w:b/>
          <w:bCs/>
          <w:i/>
          <w:iCs/>
          <w:color w:val="2E5496"/>
          <w:sz w:val="23"/>
          <w:szCs w:val="23"/>
        </w:rPr>
        <w:t xml:space="preserve">Task manager  (total viewpoints: 29)</w:t>
      </w:r>
    </w:p>
    <w:tbl>
      <w:tblPr>
        <w:tblW w:type="dxa" w:w="13956"/>
        <w:tblBorders>
          <w:top w:val="single" w:color="94A3B8" w:sz="4"/>
          <w:left w:val="single" w:color="94A3B8" w:sz="4"/>
          <w:bottom w:val="single" w:color="94A3B8" w:sz="4"/>
          <w:right w:val="single" w:color="94A3B8" w:sz="4"/>
          <w:insideH w:val="single" w:color="94A3B8" w:sz="4"/>
          <w:insideV w:val="single" w:color="94A3B8" w:sz="4"/>
        </w:tblBorders>
      </w:tblPr>
      <w:tblGrid>
        <w:gridCol w:w="3100"/>
        <w:gridCol w:w="500"/>
        <w:gridCol w:w="1726"/>
        <w:gridCol w:w="1726"/>
        <w:gridCol w:w="1726"/>
        <w:gridCol w:w="1726"/>
        <w:gridCol w:w="1726"/>
        <w:gridCol w:w="1726"/>
      </w:tblGrid>
      <w:tr>
        <w:trPr>
          <w:tblHeader/>
        </w:trPr>
        <w:tc>
          <w:tcPr>
            <w:tcW w:type="dxa" w:w="31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Category</w:t>
            </w:r>
          </w:p>
        </w:tc>
        <w:tc>
          <w:tcPr>
            <w:tcW w:type="dxa" w:w="5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N</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Sonnet</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Gemini</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ChatGPT45</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S-A</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S-B</w:t>
            </w:r>
          </w:p>
        </w:tc>
        <w:tc>
          <w:tcPr>
            <w:tcW w:type="dxa" w:w="1726"/>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S-C</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Functional State and Workflow Behavior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17</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15</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15</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17</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15</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5</w:t>
            </w:r>
          </w:p>
        </w:tc>
      </w:tr>
      <w:tr>
        <w:trPr>
          <w:tblHeader w:val="false"/>
        </w:trPr>
        <w:tc>
          <w:tcPr>
            <w:tcW w:type="dxa" w:w="31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Input Validation and Boundary Behavior</w:t>
            </w:r>
          </w:p>
        </w:tc>
        <w:tc>
          <w:tcPr>
            <w:tcW w:type="dxa" w:w="5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12</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10</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8</w:t>
            </w:r>
          </w:p>
        </w:tc>
        <w:tc>
          <w:tcPr>
            <w:tcW w:type="dxa" w:w="1726"/>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w:t>
            </w:r>
          </w:p>
        </w:tc>
      </w:tr>
    </w:tbl>
    <w:p>
      <w:pPr>
        <w:spacing w:after="60"/>
      </w:pPr>
    </w:p>
    <w:p>
      <w:pPr>
        <w:pStyle w:val="Heading1"/>
        <w:spacing w:after="120" w:before="240"/>
      </w:pPr>
      <w:r>
        <w:rPr>
          <w:rFonts w:ascii="Times New Roman" w:cs="Times New Roman" w:eastAsia="Times New Roman" w:hAnsi="Times New Roman"/>
          <w:b/>
          <w:bCs/>
          <w:color w:val="1F3864"/>
          <w:sz w:val="28"/>
          <w:szCs w:val="28"/>
        </w:rPr>
        <w:t xml:space="preserve">Appendix B. Figures</w:t>
      </w:r>
    </w:p>
    <w:p>
      <w:pPr>
        <w:spacing w:after="40" w:before="120"/>
        <w:jc w:val="center"/>
      </w:pPr>
      <w:r>
        <w:drawing>
          <wp:inline distT="0" distB="0" distL="0" distR="0">
            <wp:extent cx="8382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42862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 Test-viewpoint coverage of each LLM versus the best human tester, per application. Every LLM exceeds the best individual human on all five applications.</w:t>
      </w:r>
    </w:p>
    <w:p>
      <w:pPr>
        <w:spacing w:after="40" w:before="120"/>
        <w:jc w:val="center"/>
      </w:pPr>
      <w:r>
        <w:drawing>
          <wp:inline distT="0" distB="0" distL="0" distR="0">
            <wp:extent cx="8382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0957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2. Human-only, AI-only, and combined (union) coverage. The human+AI union reaches ~100% on four of five applications, illustrating the synergy effect.</w:t>
      </w:r>
    </w:p>
    <w:p>
      <w:pPr>
        <w:spacing w:after="40" w:before="120"/>
        <w:jc w:val="center"/>
      </w:pPr>
      <w:r>
        <w:drawing>
          <wp:inline distT="0" distB="0" distL="0" distR="0">
            <wp:extent cx="5334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6197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3. Per-category coverage gap (AI − human), all five applications. Blue = AI higher, red = human higher. Only two categories favour humans, consistent with the Wilcoxon result (p = 0.00002).</w:t>
      </w:r>
    </w:p>
    <w:p>
      <w:pPr>
        <w:pStyle w:val="Heading1"/>
        <w:spacing w:after="120" w:before="240"/>
      </w:pPr>
      <w:r>
        <w:rPr>
          <w:rFonts w:ascii="Times New Roman" w:cs="Times New Roman" w:eastAsia="Times New Roman" w:hAnsi="Times New Roman"/>
          <w:b/>
          <w:bCs/>
          <w:color w:val="1F3864"/>
          <w:sz w:val="28"/>
          <w:szCs w:val="28"/>
        </w:rPr>
        <w:t xml:space="preserve">Appendix C. Corroboration of Findings with Prior Literature</w:t>
      </w:r>
    </w:p>
    <w:p>
      <w:pPr>
        <w:spacing w:after="120" w:before="0" w:line="276"/>
        <w:jc w:val="both"/>
      </w:pPr>
      <w:r>
        <w:rPr>
          <w:rFonts w:ascii="Times New Roman" w:cs="Times New Roman" w:eastAsia="Times New Roman" w:hAnsi="Times New Roman"/>
          <w:sz w:val="22"/>
          <w:szCs w:val="22"/>
        </w:rPr>
        <w:t xml:space="preserve">This table links each empirical finding of the study to supporting evidence reported in the reviewed literature, showing which prior results the findings are consistent with and can be argued from.</w:t>
      </w:r>
    </w:p>
    <w:tbl>
      <w:tblPr>
        <w:tblW w:type="dxa" w:w="13958"/>
        <w:tblBorders>
          <w:top w:val="single" w:color="94A3B8" w:sz="4"/>
          <w:left w:val="single" w:color="94A3B8" w:sz="4"/>
          <w:bottom w:val="single" w:color="94A3B8" w:sz="4"/>
          <w:right w:val="single" w:color="94A3B8" w:sz="4"/>
          <w:insideH w:val="single" w:color="94A3B8" w:sz="4"/>
          <w:insideV w:val="single" w:color="94A3B8" w:sz="4"/>
        </w:tblBorders>
      </w:tblPr>
      <w:tblGrid>
        <w:gridCol w:w="3400"/>
        <w:gridCol w:w="6400"/>
        <w:gridCol w:w="4158"/>
      </w:tblGrid>
      <w:tr>
        <w:trPr>
          <w:tblHeader/>
        </w:trPr>
        <w:tc>
          <w:tcPr>
            <w:tcW w:type="dxa" w:w="3400"/>
            <w:shd w:fill="D9E2F3" w:color="auto" w:val="clear"/>
            <w:tcMar>
              <w:top w:type="dxa" w:w="30"/>
              <w:left w:type="dxa" w:w="80"/>
              <w:bottom w:type="dxa" w:w="30"/>
              <w:right w:type="dxa" w:w="80"/>
            </w:tcMar>
          </w:tcPr>
          <w:p>
            <w:pPr>
              <w:spacing w:after="20" w:before="20"/>
              <w:jc w:val="left"/>
            </w:pPr>
            <w:r>
              <w:rPr>
                <w:rFonts w:ascii="Times New Roman" w:cs="Times New Roman" w:eastAsia="Times New Roman" w:hAnsi="Times New Roman"/>
                <w:b/>
                <w:bCs/>
                <w:sz w:val="20"/>
                <w:szCs w:val="20"/>
              </w:rPr>
              <w:t xml:space="preserve">Finding (this study)</w:t>
            </w:r>
          </w:p>
        </w:tc>
        <w:tc>
          <w:tcPr>
            <w:tcW w:type="dxa" w:w="6400"/>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Supporting evidence reported in prior work</w:t>
            </w:r>
          </w:p>
        </w:tc>
        <w:tc>
          <w:tcPr>
            <w:tcW w:type="dxa" w:w="4158"/>
            <w:shd w:fill="D9E2F3" w:color="auto" w:val="clear"/>
            <w:tcMar>
              <w:top w:type="dxa" w:w="30"/>
              <w:left w:type="dxa" w:w="80"/>
              <w:bottom w:type="dxa" w:w="30"/>
              <w:right w:type="dxa" w:w="80"/>
            </w:tcMar>
          </w:tcPr>
          <w:p>
            <w:pPr>
              <w:spacing w:after="20" w:before="20"/>
              <w:jc w:val="center"/>
            </w:pPr>
            <w:r>
              <w:rPr>
                <w:rFonts w:ascii="Times New Roman" w:cs="Times New Roman" w:eastAsia="Times New Roman" w:hAnsi="Times New Roman"/>
                <w:b/>
                <w:bCs/>
                <w:sz w:val="20"/>
                <w:szCs w:val="20"/>
              </w:rPr>
              <w:t xml:space="preserve">Refs</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LLMs match or exceed individual human testers on viewpoint coverage</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GPT-4 matched or slightly surpassed human participants on viewpoint coverage; other comparative studies report AI reaching or exceeding human coverage on diverse scenarios.</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 [14], [15]</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Human + AI union exceeds either alone (synergy)</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Human–AI collaboration covers substantially more viewpoints than humans or AI individually; human review remains essential for validation.</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[3], [12], [23]</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High coverage does not guarantee correct tests</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TestGenEval: 73.1% of generated tests usable but only 26.8% of suites entirely correct; higher pass rates do not always mean better quality.</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[1], [2]</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LLMs occasionally miss boundary / edge viewpoints where humans win</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Reports of missing boundary-value scenarios, invalid assertions, and semantic errors in AI-generated tests.</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[2], [3], [22]</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Newer model generations improve over the earlier GPT-4 baseline</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Comparative AI test-generation studies report rising capability across model families and versions.</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[4], [25]</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Generated-test quality depends on specification clarity</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Test-from-requirements studies find output quality strongly tied to specification completeness and clarity.</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[7], [17], [21]</w:t>
            </w:r>
          </w:p>
        </w:tc>
      </w:tr>
      <w:tr>
        <w:trPr>
          <w:tblHeader w:val="false"/>
        </w:trPr>
        <w:tc>
          <w:tcPr>
            <w:tcW w:type="dxa" w:w="3400"/>
            <w:tcMar>
              <w:top w:type="dxa" w:w="30"/>
              <w:left w:type="dxa" w:w="80"/>
              <w:bottom w:type="dxa" w:w="30"/>
              <w:right w:type="dxa" w:w="80"/>
            </w:tcMar>
          </w:tcPr>
          <w:p>
            <w:pPr>
              <w:spacing w:after="20" w:before="20"/>
              <w:jc w:val="left"/>
            </w:pPr>
            <w:r>
              <w:rPr>
                <w:rFonts w:ascii="Times New Roman" w:cs="Times New Roman" w:eastAsia="Times New Roman" w:hAnsi="Times New Roman"/>
                <w:b w:val="false"/>
                <w:bCs w:val="false"/>
                <w:sz w:val="20"/>
                <w:szCs w:val="20"/>
              </w:rPr>
              <w:t xml:space="preserve">Coverage must be complemented by defect-detection metrics</w:t>
            </w:r>
          </w:p>
        </w:tc>
        <w:tc>
          <w:tcPr>
            <w:tcW w:type="dxa" w:w="6400"/>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Benchmarks and mutation-based studies argue for fault-detection / mutation scoring beyond coverage.</w:t>
            </w:r>
          </w:p>
        </w:tc>
        <w:tc>
          <w:tcPr>
            <w:tcW w:type="dxa" w:w="4158"/>
            <w:tcMar>
              <w:top w:type="dxa" w:w="30"/>
              <w:left w:type="dxa" w:w="80"/>
              <w:bottom w:type="dxa" w:w="30"/>
              <w:right w:type="dxa" w:w="80"/>
            </w:tcMar>
          </w:tcPr>
          <w:p>
            <w:pPr>
              <w:spacing w:after="20" w:before="20"/>
              <w:jc w:val="center"/>
            </w:pPr>
            <w:r>
              <w:rPr>
                <w:rFonts w:ascii="Times New Roman" w:cs="Times New Roman" w:eastAsia="Times New Roman" w:hAnsi="Times New Roman"/>
                <w:b w:val="false"/>
                <w:bCs w:val="false"/>
                <w:sz w:val="20"/>
                <w:szCs w:val="20"/>
              </w:rPr>
              <w:t xml:space="preserve">[9], [18], [24]</w:t>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403e2b6459ad446fe7afbc9bce588955f52e235.png"/><Relationship Id="rId10" Type="http://schemas.openxmlformats.org/officeDocument/2006/relationships/image" Target="media/4ccd5e95d55a75771343f8814b2882708c1f1415.png"/><Relationship Id="rId11" Type="http://schemas.openxmlformats.org/officeDocument/2006/relationships/image" Target="media/955399eb1d2beb7964fd7e167e63a66d00334a9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dc:title>
  <dc:creator>SE1907 Group 1</dc:creator>
  <cp:lastModifiedBy>Un-named</cp:lastModifiedBy>
  <cp:revision>1</cp:revision>
  <dcterms:created xsi:type="dcterms:W3CDTF">2026-07-18T09:13:09.684Z</dcterms:created>
  <dcterms:modified xsi:type="dcterms:W3CDTF">2026-07-18T09:13:09.685Z</dcterms:modified>
</cp:coreProperties>
</file>

<file path=docProps/custom.xml><?xml version="1.0" encoding="utf-8"?>
<Properties xmlns="http://schemas.openxmlformats.org/officeDocument/2006/custom-properties" xmlns:vt="http://schemas.openxmlformats.org/officeDocument/2006/docPropsVTypes"/>
</file>