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Helvetica Neue" w:hAnsi="Helvetica Neue" w:cs="Helvetica Neue"/>
          <w:sz w:val="56"/>
          <w:sz-cs w:val="56"/>
          <w:spacing w:val="0"/>
          <w:color w:val="1B1F22"/>
        </w:rPr>
        <w:t xml:space="preserve">Briefing Estratégico Contábil: DeepWork AI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464D56"/>
        </w:rPr>
        <w:t xml:space="preserve">Destinatário: Assessoria Contábil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464D56"/>
        </w:rPr>
        <w:t xml:space="preserve">Data: 27/01/2026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464D56"/>
        </w:rPr>
        <w:t xml:space="preserve">Assunto: Abertura de Empresa, Consultoria de Sede e Planejamento Tributário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464D56"/>
        </w:rPr>
        <w:t xml:space="preserve">Prioridade: Alta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B1F22"/>
        </w:rPr>
        <w:t xml:space="preserve">1. Visão Geral e Contexto do Projeto</w:t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A DeepWork AI não é uma software house tradicional. Somos uma startup de Inteligência de Dados e Agentes Autônomos de IA com foco vertical no Agronegócio.</w:t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Nosso modelo de negócios é híbrido e complexo, o que exige um olhar contábil cuidadoso para evitar bitributação ou enquadramento incorreto: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SaaS (DeepWork Core): Licenciamento de uso da nossa plataforma de IA.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Data Intelligence (Serviço): Processamento massivo de dados (Big Data) e engenharia de dados (ETL) para grandes produtores ("Data Warehousing").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Setup &amp; Onboarding (Consultoria): Implementação técnica e treinamento inicial.</w:t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Nosso Diferencial Técnico: Operamos com arquitetura "Zero Knowledge". Embora processamos terabytes de dados do cliente, nossa estrutura é criptografada de tal forma que não temos acesso visual a segredos industriais ou financeiros do produtor. Isso nos coloca como uma infraestrutura de dados, não apenas um app.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B1F22"/>
        </w:rPr>
        <w:t xml:space="preserve">2. Estrutura Societária Proposta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Tipo Jurídico: Sociedade Empresária Limitada (Ltda).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Quadro Societário (50/50):</w:t>
      </w:r>
    </w:p>
    <w:p>
      <w:pPr>
        <w:ind w:left="1440" w:first-line="-144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João Vitor Balzer (CTO): Responsável por toda a infraestrutura técnica, segurança e código.</w:t>
      </w:r>
    </w:p>
    <w:p>
      <w:pPr>
        <w:ind w:left="1440" w:first-line="-144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Rodrigo Kugler (CEO): Responsável pela estratégia de negócios, comercial e produto.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i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i/>
          <w:spacing w:val="0"/>
          <w:color w:val="1B1F22"/>
        </w:rPr>
        <w:t xml:space="preserve">Nota:</w:t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 Ambos terão poderes de administração.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B1F22"/>
        </w:rPr>
        <w:t xml:space="preserve">3. Discussão de Sede: A Tese de São Paulo</w:t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Atualmente, estamos inclinados a estabelecer a sede fiscal em São Paulo (Capital), mas precisamos da sua validação técnica sobre esta escolha.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Nossa Tese: Entendemos que SP oferece alíquota reduzida de ISS (2%) para serviços de tecnologia e licenciamento, além de ser um hub que facilita captação de investimento futuro.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O Pedido: Por favor, compare a viabilidade de SP versus outras jurisdições (ex: Paraná, onde residimos). O custo extra de um escritório virtual em SP se paga pela economia tributária no curto/médio prazo? Existem incentivos fiscais melhores que estamos ignorando?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B1F22"/>
        </w:rPr>
        <w:t xml:space="preserve">4. Estratégia Tributária e CNAEs (O "Puzzle")</w:t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Nosso objetivo é iniciar no Simples Nacional, preferencialmente tributados pelo Anexo III (Serviços e Licenciamento).</w:t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Precisamos de uma composição de CNAEs que reflita nossa operação híbrida sem nos expor a riscos desnecessários de exclusão ou tributação majorada (Anexo V):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Desenvolvimento de Software Sob Encomenda (Core business).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Licenciamento de Software Customizável (Receita recorrente/SaaS).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Tratamento de Dados, Provedores de Serviços de Aplicação (Fundamental para o braço de Data Warehouse/Hospedagem).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Consultoria em TI (Para a etapa de diagnóstico).</w:t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  <w:color w:val="57606A"/>
        </w:rPr>
        <w:t xml:space="preserve">Ponto Crítico: Como estruturar a emissão de notas fiscais para que a receita de "Processamento de Dados" (muitas vezes tributada diferente de licenciamento) não infle nossa carga tributária média?</w:t>
      </w:r>
      <w:r>
        <w:rPr>
          <w:rFonts w:ascii="Helvetica Neue" w:hAnsi="Helvetica Neue" w:cs="Helvetica Neue"/>
          <w:sz w:val="28"/>
          <w:sz-cs w:val="28"/>
          <w:spacing w:val="0"/>
          <w:color w:val="5760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B1F22"/>
        </w:rPr>
        <w:t xml:space="preserve">5. Integralização de Capital e Ativos Intangíveis (Ponto Chave)</w:t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Este é um ponto que precisamos de orientação estratégica superior.</w:t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Os sócios já desenvolveram, antes da abertura do CNPJ, uma propriedade intelectual (Software/Código) de alto valor agregado.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O Dilema: Devemos integralizar o Capital Social apenas em dinheiro (valor simbólico inicial para operação) ou devemos integralizar o Software como ativo intangível (aportando o código ao capital social)?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Nossa Dúvida:</w:t>
      </w:r>
    </w:p>
    <w:p>
      <w:pPr>
        <w:ind w:left="1440" w:first-line="-144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Integralizar o software agora ajuda na avaliação da empresa (Valuation) para investidores futuros?</w:t>
      </w:r>
    </w:p>
    <w:p>
      <w:pPr>
        <w:ind w:left="1440" w:first-line="-144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Se integralizarmos o software, como precificá-lo sem laudo complexo neste momento?</w:t>
      </w:r>
    </w:p>
    <w:p>
      <w:pPr>
        <w:ind w:left="1440" w:first-line="-144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Financeiramente, é mais "limpo" fazer um contrato de Cessão de Direitos onde a PJ "adquire" o software dos sócios parceladamente (gerando crédito aos sócios)?</w:t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Precisamos da sua recomendação sobre o caminho mais seguro e eficiente para proteger esse IP dentro da empresa desde o dia 1.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B1F22"/>
        </w:rPr>
        <w:t xml:space="preserve">6. Planejamento de Pro-labore (A Transição)</w:t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Temos um roadmap de dedicação dos sócios que impacta a folha de pagamento: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Fase 1 (Imediata): Sócio Rodrigo assume Full-time. Sócio João mantém dedicação parcial.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Fase 2 (Curto Prazo): Ambos Full-time.</w:t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Precisamos operacionalizar uma retirada mensal assimétrica (maior para Rodrigo no início) para sustentar sua dedicação exclusiva.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i/>
          <w:color w:val="1B1F2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i/>
          <w:spacing w:val="0"/>
          <w:color w:val="1B1F22"/>
        </w:rPr>
        <w:t xml:space="preserve">Pergunta:</w:t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 Qual a melhor ferramenta para isso? Pro-labore diferenciado (impacta INSS) ou Antecipação de Lucros (isento, mas exige contabilidade em dia e cláusula no contrato social)?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B1F22"/>
        </w:rPr>
        <w:t xml:space="preserve">7. Next Steps</w:t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Para avançarmos, solicitamos: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Parecer sobre a Sede (SP vs Alternativas).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Sugestão de CNAEs blindada.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B1F2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Proposta de honorários para Abertura e Mensalidade.</w:t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  <w:color w:val="1B1F22"/>
        </w:rPr>
        <w:t xml:space="preserve">Obrigado.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