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Helvetica Neue" w:hAnsi="Helvetica Neue" w:cs="Helvetica Neue"/>
          <w:sz w:val="56"/>
          <w:sz-cs w:val="56"/>
          <w:spacing w:val="0"/>
          <w:color w:val="1B1F22"/>
        </w:rPr>
        <w:t xml:space="preserve">Briefing Jurídico: DeepWork AI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464D56"/>
        </w:rPr>
        <w:t xml:space="preserve">Destinatário: Assessoria Jurídica / Advogado Responsável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464D56"/>
        </w:rPr>
        <w:t xml:space="preserve">Data: 27/01/2026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464D56"/>
        </w:rPr>
        <w:t xml:space="preserve">Assunto: Constituição de Empresa e Estruturação Contratual Inicial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B1F22"/>
        </w:rPr>
        <w:t xml:space="preserve">1. O Negócio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Nome: DeepWork AI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Atuação: Soluções de Engenharia de Dados, Business Intelligence e Agentes de IA para o Agronegócio. Transformação de dados dispersos (ERP, planilhas, máquinas) em "Data Warehouse" unificado para suporte à decisão.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Modelo: B2B (SaaS + Data Service).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Diferencial Técnico: Arquitetura "Zero Knowledge" e criptografia ponta-a-ponta. Processamento de dados sem acesso visual ao conteúdo sensível financeiro do cliente.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B1F22"/>
        </w:rPr>
        <w:t xml:space="preserve">2. Estrutura Societária (Constituição)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Tipo Societário: Sociedade Empresária Limitada (Ltda).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Sócios:</w:t>
      </w:r>
    </w:p>
    <w:p>
      <w:pPr>
        <w:ind w:left="1440" w:first-line="-144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João Vitor Balzer: 50% das quotas. (Papel: CTO/Tecnologia).</w:t>
      </w:r>
    </w:p>
    <w:p>
      <w:pPr>
        <w:ind w:left="1440" w:first-line="-144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Rodrigo Kugler: 50% das quotas. (Papel: CEO/Comercial).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Sede: São Paulo - SP.</w:t>
      </w:r>
    </w:p>
    <w:p>
      <w:pPr>
        <w:ind w:left="1440" w:first-line="-144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Objetivo: Benefícios fiscais (ISS reduzido para serviços de tecnologia) e acesso ao ecossistema.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Regime Tributário: Início pelo Simples Nacional, buscando CNAEs de desenvolvimento de software e consultoria de TI (Anexo III via Fator R, se aplicável).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B1F22"/>
        </w:rPr>
        <w:t xml:space="preserve">3. Demandas Contratuais Prioritárias</w:t>
      </w:r>
    </w:p>
    <w:p>
      <w:pPr>
        <w:spacing w:after="320"/>
      </w:pPr>
      <w:r>
        <w:rPr>
          <w:rFonts w:ascii="Helvetica Neue" w:hAnsi="Helvetica Neue" w:cs="Helvetica Neue"/>
          <w:sz w:val="35"/>
          <w:sz-cs w:val="35"/>
          <w:spacing w:val="0"/>
          <w:color w:val="1B1F22"/>
        </w:rPr>
        <w:t xml:space="preserve">A. Acordo de Sócios (Memorandum of Understanding)</w:t>
      </w:r>
    </w:p>
    <w:p>
      <w:pPr>
        <w:spacing w:after="320"/>
      </w:pP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Necessidade de documento parassocial definindo: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Vesting: Cláusulas de cliff e vesting para proteção mútua (sugestão: 4 anos).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Propriedade Intelectual (IP): Cessão total do código para a DeepWork.</w:t>
      </w:r>
    </w:p>
    <w:p>
      <w:pPr>
        <w:ind w:left="1440" w:first-line="-1440"/>
      </w:pPr>
      <w:r>
        <w:rPr>
          <w:rFonts w:ascii="Helvetica Neue" w:hAnsi="Helvetica Neue" w:cs="Helvetica Neue"/>
          <w:sz w:val="28"/>
          <w:sz-cs w:val="28"/>
          <w:i/>
          <w:color w:val="1B1F22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8"/>
          <w:sz-cs w:val="28"/>
          <w:i/>
          <w:spacing w:val="0"/>
          <w:color w:val="1B1F22"/>
        </w:rPr>
        <w:t xml:space="preserve">Ponto de Atenção:</w:t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 Validar estratégia de patentes (Registro na Pessoa Física licenciando para PJ vs. Registro direto na PJ).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Dedicação e Prolabore: Previsão de dedicação assimétrica inicial (Rodrigo Full-time antes de João), com compensação financeira proporcional ou mecanismo de ajuste de distribuição de lucros.</w:t>
      </w:r>
    </w:p>
    <w:p>
      <w:pPr>
        <w:spacing w:after="320"/>
      </w:pPr>
      <w:r>
        <w:rPr>
          <w:rFonts w:ascii="Helvetica Neue" w:hAnsi="Helvetica Neue" w:cs="Helvetica Neue"/>
          <w:sz w:val="35"/>
          <w:sz-cs w:val="35"/>
          <w:spacing w:val="0"/>
          <w:color w:val="1B1F22"/>
        </w:rPr>
        <w:t xml:space="preserve">B. Contrato Piloto (Cliente: SOAL - Serra da Onça Agropecuária)</w:t>
      </w:r>
    </w:p>
    <w:p>
      <w:pPr>
        <w:spacing w:after="320"/>
      </w:pP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Primeiro cliente (empresa familiar), exigindo contrato profissional: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Natureza: Contrato Híbrido (Desenvolvimento MVP + Data Warehousing).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Valores:</w:t>
      </w:r>
    </w:p>
    <w:p>
      <w:pPr>
        <w:ind w:left="1440" w:first-line="-144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Desenvolvimento: R$ 0,00 (troca por validação e IP).</w:t>
      </w:r>
    </w:p>
    <w:p>
      <w:pPr>
        <w:ind w:left="1440" w:first-line="-144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Manutenção: ~R$ 750,00/mês (custos de nuvem) após entrega.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Vigência: Indeterminada. Marco de revisão após 3 meses da entrega do MVP (congelamento de features).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IP: Propriedade exclusiva da DeepWork. SOAL recebe licença de uso.</w:t>
      </w:r>
    </w:p>
    <w:p>
      <w:pPr>
        <w:spacing w:after="320"/>
      </w:pPr>
      <w:r>
        <w:rPr>
          <w:rFonts w:ascii="Helvetica Neue" w:hAnsi="Helvetica Neue" w:cs="Helvetica Neue"/>
          <w:sz w:val="35"/>
          <w:sz-cs w:val="35"/>
          <w:spacing w:val="0"/>
          <w:color w:val="1B1F22"/>
        </w:rPr>
        <w:t xml:space="preserve">C. Proteção e Privacidade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Compliance LGPD: Tratamento de dados pessoais de operadores.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Termos de Uso:</w:t>
      </w:r>
    </w:p>
    <w:p>
      <w:pPr>
        <w:ind w:left="1440" w:first-line="-144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Isenção de IA: Cláusula de "Advisory only" (Natureza consultiva). A decisão final é humana; a DeepWork não se responsabiliza por perdas agronômicas baseadas em sugestões da IA.</w:t>
      </w:r>
    </w:p>
    <w:p>
      <w:pPr>
        <w:ind w:left="1440" w:first-line="-144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Privacidade: Cláusula de "Zero Knowledge". Cliente detém a chave; DeepWork garante a estrutura mas não acessa dados sigilosos sem permissão.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B1F22"/>
        </w:rPr>
        <w:t xml:space="preserve">4. Próximos Passos Esperados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Minuta do Contrato Social e Indicação de Contador em SP (se houver parceiro).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Minuta do Acordo de Sócios (MoU).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Minuta do Contrato Piloto SOAL.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Nota: Requisitamos linguagem clara, objetiva e moderna nos contratos ("Legal Design"), evitando termos excessivamente arcaicos que gerem atrito com clientes do setor agro.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