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ai-영상치유의-가능성과-한계"/>
    <w:p>
      <w:pPr>
        <w:pStyle w:val="Heading1"/>
        <w:spacing w:lineRule="auto" w:line="384" w:before="240" w:after="120"/>
        <w:jc w:val="left"/>
      </w:pPr>
      <w:r>
        <w:rPr>
          <w:rFonts w:ascii="돋움" w:hAnsi="돋움" w:eastAsia="돋움" w:cs="돋움"/>
          <w:b/>
        </w:rPr>
        <w:t xml:space="preserve">AI 영상치유의 가능성과 한계</w:t>
      </w:r>
    </w:p>
    <w:bookmarkStart w:id="10" w:name="X961a909b7aeb5e481ef6e4b2c3dc229fb4f5778"/>
    <w:p>
      <w:pPr>
        <w:pStyle w:val="Heading2"/>
        <w:spacing w:lineRule="auto" w:line="384" w:before="240" w:after="120"/>
        <w:jc w:val="left"/>
      </w:pPr>
      <w:r>
        <w:rPr>
          <w:rFonts w:ascii="돋움" w:hAnsi="돋움" w:eastAsia="돋움" w:cs="돋움"/>
          <w:b/>
        </w:rPr>
        <w:t xml:space="preserve">— 영상치료(Video Therapy) 기제에 기반한 통합적 비교 고찰 —</w:t>
      </w:r>
    </w:p>
    <w:bookmarkStart w:id="9" w:name="X189ec79336081635f4e067084f9171d2bfff6d1"/>
    <w:p>
      <w:pPr>
        <w:pStyle w:val="Heading3"/>
        <w:spacing w:lineRule="auto" w:line="384" w:before="240" w:after="120"/>
        <w:jc w:val="left"/>
      </w:pPr>
      <w:r>
        <w:rPr>
          <w:rFonts w:ascii="돋움" w:hAnsi="돋움" w:eastAsia="돋움" w:cs="돋움"/>
          <w:b/>
        </w:rPr>
        <w:t xml:space="preserve">Possibilities and Limitations of AI Video Healing: An Integrative Comparative Review Grounded in the Mechanisms of Video Therapy</w:t>
      </w:r>
    </w:p>
    <w:p>
      <w:pPr>
        <w:pStyle w:val="FirstParagraph"/>
        <w:spacing w:lineRule="auto" w:line="384"/>
        <w:jc w:val="both"/>
      </w:pPr>
      <w:r>
        <w:rPr>
          <w:rFonts w:ascii="바탕" w:hAnsi="바탕" w:eastAsia="바탕" w:cs="바탕"/>
          <w:b/>
          <w:bCs/>
          <w:sz w:val="21"/>
        </w:rPr>
        <w:t xml:space="preserve">저자명</w:t>
      </w:r>
      <w:r>
        <w:rPr>
          <w:rFonts w:ascii="바탕" w:hAnsi="바탕" w:eastAsia="바탕" w:cs="바탕"/>
          <w:sz w:val="21"/>
        </w:rPr>
        <w:t xml:space="preserve">1)</w:t>
      </w:r>
    </w:p>
    <w:p>
      <w:pPr>
        <w:pStyle w:val="BodyText"/>
        <w:spacing w:lineRule="auto" w:line="384"/>
        <w:jc w:val="both"/>
      </w:pPr>
      <w:r>
        <w:rPr>
          <w:rFonts w:ascii="바탕" w:hAnsi="바탕" w:eastAsia="바탕" w:cs="바탕"/>
          <w:sz w:val="21"/>
        </w:rPr>
        <w:t xml:space="preserve">1)</w:t>
      </w:r>
      <w:r>
        <w:rPr>
          <w:rFonts w:ascii="바탕" w:hAnsi="바탕" w:eastAsia="바탕" w:cs="바탕"/>
          <w:sz w:val="21"/>
        </w:rPr>
        <w:t xml:space="preserve"> </w:t>
      </w:r>
      <w:r>
        <w:rPr>
          <w:rFonts w:ascii="바탕" w:hAnsi="바탕" w:eastAsia="바탕" w:cs="바탕"/>
          <w:sz w:val="21"/>
        </w:rPr>
        <w:t xml:space="preserve">소속 기관, 학과 (직위) · 교신저자 이메일: ____________</w:t>
      </w:r>
    </w:p>
    <w:p>
      <w:pPr>
        <w:pStyle w:val="BodyText"/>
        <w:spacing w:lineRule="auto" w:line="384"/>
        <w:jc w:val="both"/>
      </w:pPr>
      <w:r>
        <w:rPr>
          <w:rFonts w:ascii="바탕" w:hAnsi="바탕" w:eastAsia="바탕" w:cs="바탕"/>
          <w:i/>
          <w:iCs/>
          <w:sz w:val="21"/>
        </w:rPr>
        <w:t xml:space="preserve">투고일: 20XX. XX. XX. </w:t>
      </w:r>
      <w:r>
        <w:rPr>
          <w:rFonts w:hint="eastAsia" w:ascii="바탕" w:hAnsi="바탕" w:eastAsia="바탕" w:cs="바탕"/>
          <w:i/>
          <w:iCs/>
          <w:sz w:val="21"/>
        </w:rPr>
        <w:t xml:space="preserve">｜</w:t>
      </w:r>
      <w:r>
        <w:rPr>
          <w:rFonts w:ascii="바탕" w:hAnsi="바탕" w:eastAsia="바탕" w:cs="바탕"/>
          <w:i/>
          <w:iCs/>
          <w:sz w:val="21"/>
        </w:rPr>
        <w:t xml:space="preserve"> 수정일: 20XX. XX. XX. </w:t>
      </w:r>
      <w:r>
        <w:rPr>
          <w:rFonts w:hint="eastAsia" w:ascii="바탕" w:hAnsi="바탕" w:eastAsia="바탕" w:cs="바탕"/>
          <w:i/>
          <w:iCs/>
          <w:sz w:val="21"/>
        </w:rPr>
        <w:t xml:space="preserve">｜</w:t>
      </w:r>
      <w:r>
        <w:rPr>
          <w:rFonts w:ascii="바탕" w:hAnsi="바탕" w:eastAsia="바탕" w:cs="바탕"/>
          <w:i/>
          <w:iCs/>
          <w:sz w:val="21"/>
        </w:rPr>
        <w:t xml:space="preserve"> 게재확정일: 20XX. XX. XX.</w:t>
      </w:r>
    </w:p>
    <w:p>
      <w:pPr>
        <w:spacing w:lineRule="auto" w:line="384"/>
        <w:jc w:val="both"/>
      </w:pPr>
      <w:r>
        <w:rPr>
          <w:rFonts w:ascii="바탕" w:hAnsi="바탕" w:eastAsia="바탕" w:cs="바탕"/>
          <w:sz w:val="21"/>
        </w:rPr>
        <w:pict>
          <v:rect style="width:0;height:1.5pt" o:hralign="center" o:hrstd="t" o:hr="t"/>
        </w:pict>
      </w:r>
    </w:p>
    <w:bookmarkEnd w:id="9"/>
    <w:bookmarkEnd w:id="10"/>
    <w:bookmarkStart w:id="11" w:name="국문초록"/>
    <w:p>
      <w:pPr>
        <w:pStyle w:val="Heading2"/>
        <w:spacing w:lineRule="auto" w:line="384" w:before="240" w:after="120"/>
        <w:jc w:val="left"/>
      </w:pPr>
      <w:r>
        <w:rPr>
          <w:rFonts w:ascii="돋움" w:hAnsi="돋움" w:eastAsia="돋움" w:cs="돋움"/>
          <w:b/>
        </w:rPr>
        <w:t xml:space="preserve">국문초록</w:t>
      </w:r>
    </w:p>
    <w:p>
      <w:pPr>
        <w:pStyle w:val="FirstParagraph"/>
        <w:spacing w:lineRule="auto" w:line="384"/>
        <w:jc w:val="both"/>
      </w:pPr>
      <w:r>
        <w:rPr>
          <w:rFonts w:ascii="바탕" w:hAnsi="바탕" w:eastAsia="바탕" w:cs="바탕"/>
          <w:sz w:val="21"/>
        </w:rPr>
        <w:t xml:space="preserve">본 연구는 생성형 인공지능(generative AI) 기반 '영상치유'를, 기존 영상치료(video therapy)의 치료 기제에 정박한 통합적 분석틀을 구성하여 그 가능성과 한계를 비판적으로 비교·고찰하는 것을 목적으로 한다. 영상치료는 영화·영상 매체의 시청·제작·재구성을 통해 정서를 환기하고 자기이해와 변화를 돕는 심리치료적 접근으로, 동일시와 투사, 정서적 정화(catharsis), 보편성(universality), 관찰학습, 그리고 치료적 대화의 매개라는 정교한 기제 위에서 발전해 왔다. 최근 텍스트-투-비디오(text-to-video) 생성 모델의 등장으로 개인 맞춤형 영상을 즉시 생성하는 'AI 영상치유'가 새로운 가능성으로 주목받고 있으나, 그 치료적 타당성은 충분히 검토되지 않았다. 본 연구는 이론적 문헌고찰(theoretical literature review)을 통해 영상치료의 다섯 가지 핵심 기제를 분석 렌즈로 통합하고, 이를 적용하여 (1) 접근성·맞춤성·즉시성·표현 확장이라는 가능성과 (2) 치료적 관계의 부재, 의미 처리의 피상화, 근거 부족, 윤리적 위험, 진정성의 문제라는 한계를 체계적으로 대조하였다. 분석 결과, AI 영상치유는 영상치료를 대체하기보다 치료자가 매개하는 보조 도구로 통합될 때 가장 책임 있게 그 잠재력을 실현할 수 있음을 확인하였다. 본 연구는 디지털 치유 기술의 도입을 이론적으로 성찰할 분석틀과 후속 실증연구·정책의 방향을 제시한다.</w:t>
      </w:r>
    </w:p>
    <w:p>
      <w:pPr>
        <w:pStyle w:val="BodyText"/>
        <w:spacing w:lineRule="auto" w:line="384"/>
        <w:jc w:val="both"/>
      </w:pPr>
      <w:r>
        <w:rPr>
          <w:rFonts w:ascii="바탕" w:hAnsi="바탕" w:eastAsia="바탕" w:cs="바탕"/>
          <w:b/>
          <w:bCs/>
          <w:sz w:val="21"/>
        </w:rPr>
        <w:t xml:space="preserve">주제어</w:t>
      </w:r>
      <w:r>
        <w:rPr>
          <w:rFonts w:ascii="바탕" w:hAnsi="바탕" w:eastAsia="바탕" w:cs="바탕"/>
          <w:sz w:val="21"/>
        </w:rPr>
        <w:t xml:space="preserve">: AI 영상치유, 영상치료, 영화치료, 생성형 인공지능, 치료적 동맹, 디지털 정신건강</w:t>
      </w:r>
    </w:p>
    <w:p>
      <w:pPr>
        <w:spacing w:lineRule="auto" w:line="384"/>
        <w:jc w:val="both"/>
      </w:pPr>
      <w:r>
        <w:rPr>
          <w:rFonts w:ascii="바탕" w:hAnsi="바탕" w:eastAsia="바탕" w:cs="바탕"/>
          <w:sz w:val="21"/>
        </w:rPr>
        <w:pict>
          <v:rect style="width:0;height:1.5pt" o:hralign="center" o:hrstd="t" o:hr="t"/>
        </w:pict>
      </w:r>
    </w:p>
    <w:bookmarkEnd w:id="11"/>
    <w:bookmarkStart w:id="12" w:name="abstract"/>
    <w:p>
      <w:pPr>
        <w:pStyle w:val="Heading2"/>
        <w:spacing w:lineRule="auto" w:line="384" w:before="240" w:after="120"/>
        <w:jc w:val="left"/>
      </w:pPr>
      <w:r>
        <w:rPr>
          <w:rFonts w:ascii="돋움" w:hAnsi="돋움" w:eastAsia="돋움" w:cs="돋움"/>
          <w:b/>
        </w:rPr>
        <w:t xml:space="preserve">Abstract</w:t>
      </w:r>
    </w:p>
    <w:p>
      <w:pPr>
        <w:pStyle w:val="FirstParagraph"/>
        <w:spacing w:lineRule="auto" w:line="384"/>
        <w:jc w:val="both"/>
      </w:pPr>
      <w:r>
        <w:rPr>
          <w:rFonts w:ascii="바탕" w:hAnsi="바탕" w:eastAsia="바탕" w:cs="바탕"/>
          <w:sz w:val="21"/>
        </w:rPr>
        <w:t xml:space="preserve">This study aims to critically compare the possibilities and limitations of generative artificial intelligence (AI)–based "video healing" by constructing an integrative analytic framework grounded in the therapeutic mechanisms of established video therapy. Video therapy is a psychotherapeutic approach that evokes emotion and facilitates self-understanding and change through the viewing, creation, and reconstruction of film and video media; it has developed upon sophisticated mechanisms such as identification and projection, emotional catharsis, universality, observational learning, and the mediation of therapeutic dialogue. With the emergence of text-to-video generative models, "AI video healing," which instantly generates personalized visual content, has drawn attention as a new possibility, yet its therapeutic validity has not been sufficiently examined. Through a theoretical literature review, this study integrates five core mechanisms of video therapy into an analytic lens and applies it to systematically contrast (1) possibilities—accessibility, personalization, immediacy, and the expansion of expression—and (2) limitations—the absence of a therapeutic relationship, the superficialization of meaning processing, the lack of evidence, ethical risks, and the problem of authenticity. The analysis confirms that AI video healing can most responsibly realize its potential when integrated as a therapist-mediated supportive tool rather than as a replacement for video therapy. This study provides an analytic framework for theoretically reflecting on the adoption of digital healing technologies and offers directions for future empirical research and policy.</w:t>
      </w:r>
    </w:p>
    <w:p>
      <w:pPr>
        <w:pStyle w:val="BodyText"/>
        <w:spacing w:lineRule="auto" w:line="384"/>
        <w:jc w:val="both"/>
      </w:pPr>
      <w:r>
        <w:rPr>
          <w:rFonts w:ascii="바탕" w:hAnsi="바탕" w:eastAsia="바탕" w:cs="바탕"/>
          <w:b/>
          <w:bCs/>
          <w:sz w:val="21"/>
        </w:rPr>
        <w:t xml:space="preserve">Keywords</w:t>
      </w:r>
      <w:r>
        <w:rPr>
          <w:rFonts w:ascii="바탕" w:hAnsi="바탕" w:eastAsia="바탕" w:cs="바탕"/>
          <w:sz w:val="21"/>
        </w:rPr>
        <w:t xml:space="preserve">: AI video healing, video therapy, cinema therapy, generative AI, therapeutic alliance, digital mental health</w:t>
      </w:r>
    </w:p>
    <w:p>
      <w:pPr>
        <w:spacing w:lineRule="auto" w:line="384"/>
        <w:jc w:val="both"/>
      </w:pPr>
      <w:r>
        <w:rPr>
          <w:rFonts w:ascii="바탕" w:hAnsi="바탕" w:eastAsia="바탕" w:cs="바탕"/>
          <w:sz w:val="21"/>
        </w:rPr>
        <w:pict>
          <v:rect style="width:0;height:1.5pt" o:hralign="center" o:hrstd="t" o:hr="t"/>
        </w:pict>
      </w:r>
    </w:p>
    <w:bookmarkEnd w:id="12"/>
    <w:bookmarkStart w:id="16" w:name="X324f33ffc546ca8ac744cb7b8addd80eb6a8c51"/>
    <w:p>
      <w:pPr>
        <w:pStyle w:val="Heading2"/>
        <w:spacing w:lineRule="auto" w:line="384" w:before="240" w:after="120"/>
        <w:jc w:val="left"/>
      </w:pPr>
      <w:r>
        <w:rPr>
          <w:rFonts w:ascii="돋움" w:hAnsi="돋움" w:eastAsia="돋움" w:cs="돋움"/>
          <w:b/>
        </w:rPr>
        <w:t xml:space="preserve">Ⅰ. 서론</w:t>
      </w:r>
    </w:p>
    <w:bookmarkStart w:id="13" w:name="X3666180e9103426bd15cf164c278300e78ef331"/>
    <w:p>
      <w:pPr>
        <w:pStyle w:val="Heading3"/>
        <w:spacing w:lineRule="auto" w:line="384" w:before="240" w:after="120"/>
        <w:jc w:val="left"/>
      </w:pPr>
      <w:r>
        <w:rPr>
          <w:rFonts w:ascii="돋움" w:hAnsi="돋움" w:eastAsia="돋움" w:cs="돋움"/>
          <w:b/>
        </w:rPr>
        <w:t xml:space="preserve">1. 연구의 배경</w:t>
      </w:r>
    </w:p>
    <w:p>
      <w:pPr>
        <w:pStyle w:val="FirstParagraph"/>
        <w:spacing w:lineRule="auto" w:line="384"/>
        <w:jc w:val="both"/>
      </w:pPr>
      <w:r>
        <w:rPr>
          <w:rFonts w:ascii="바탕" w:hAnsi="바탕" w:eastAsia="바탕" w:cs="바탕"/>
          <w:sz w:val="21"/>
        </w:rPr>
        <w:t xml:space="preserve">영상은 인간의 정서에 직접적이고 강력하게 작용하는 매체이다. 한 편의 영화나 짧은 영상이 관객의 감정을 환기하고, 억압된 기억을 떠올리게 하며, 자기 자신을 새로운 시각에서 바라보게 만든다는 사실은 오랫동안 임상 현장에서 활용되어 왔다(Hesley &amp; Hesley, 2001). 이러한 경험적 토대 위에서 발전한 것이 영상치료(video therapy) 혹은 영화치료(cinema therapy)이며, 이는 내담자가 영상을 시청하거나 직접 제작·편집하는 과정을 통해 정서적 정화와 통찰을 얻도록 돕는 심리치료적 접근이다(Sacilotto et al., 2022). 국내에서도 영화치료는 우울증 중년여성, 위기청소년 등 다양한 대상에게 적용되어 정서 개선 효과가 보고되어 왔다(강은주, 천성문, 2011; 신경아, 2018).</w:t>
      </w:r>
    </w:p>
    <w:p>
      <w:pPr>
        <w:pStyle w:val="BodyText"/>
        <w:spacing w:lineRule="auto" w:line="384"/>
        <w:jc w:val="both"/>
      </w:pPr>
      <w:r>
        <w:rPr>
          <w:rFonts w:ascii="바탕" w:hAnsi="바탕" w:eastAsia="바탕" w:cs="바탕"/>
          <w:sz w:val="21"/>
        </w:rPr>
        <w:t xml:space="preserve">2020년대에 들어 생성형 인공지능은 텍스트뿐 아니라 이미지·음성·영상까지 생성하는 단계로 빠르게 진화했다. 특히 텍스트 프롬프트만으로 고품질 영상을 즉시 만들어 내는 텍스트-투-비디오 모델이 상용화되면서(Sun et al., 2024; Liu et al., 2024), 개인의 정서 상태·선호·목표에 맞춘 영상을 실시간으로 생성하는 일이 기술적으로 가능해졌다. 이로부터 'AI 영상치유'라는 새로운 개념이 부상하고 있으며, 국내 상담·심리치료 분야에서도 AI 활용 연구가 꾸준히 증가하고 있다(여수진, 손승희, 2025).</w:t>
      </w:r>
    </w:p>
    <w:bookmarkEnd w:id="13"/>
    <w:bookmarkStart w:id="14" w:name="Xf2a49e1f9d9065584f0873125c5f63dd832cf74"/>
    <w:p>
      <w:pPr>
        <w:pStyle w:val="Heading3"/>
        <w:spacing w:lineRule="auto" w:line="384" w:before="240" w:after="120"/>
        <w:jc w:val="left"/>
      </w:pPr>
      <w:r>
        <w:rPr>
          <w:rFonts w:ascii="돋움" w:hAnsi="돋움" w:eastAsia="돋움" w:cs="돋움"/>
          <w:b/>
        </w:rPr>
        <w:t xml:space="preserve">2. 문제 제기</w:t>
      </w:r>
    </w:p>
    <w:p>
      <w:pPr>
        <w:pStyle w:val="FirstParagraph"/>
        <w:spacing w:lineRule="auto" w:line="384"/>
        <w:jc w:val="both"/>
      </w:pPr>
      <w:r>
        <w:rPr>
          <w:rFonts w:ascii="바탕" w:hAnsi="바탕" w:eastAsia="바탕" w:cs="바탕"/>
          <w:sz w:val="21"/>
        </w:rPr>
        <w:t xml:space="preserve">그러나 기술적 가능성이 곧 치료적 타당성을 의미하지는 않는다. 영상치료의 치유 효과는 단지 '좋은 영상'을 보는 데서 나오는 것이 아니라, 치료자와 내담자 사이의 관계, 영상에 대한 해석과 대화, 안전한 치료적 환경 속에서의 정서 처리 과정에서 비롯되기 때문이다(Bordin, 1979; Cuijpers et al., 2019). 다시 말해 영상은 치유의 '재료'일 뿐, 치유 자체를 완성하는 것은 그 재료를 다루는 임상적 맥락이다. 이 점을 간과한 채 'AI가 좋은 영상을 만들 수 있으니 치유도 자동화할 수 있다'는 기대가 확산된다면, 치료의 본질을 기술의 산출물로 환원하는 오류에 빠질 위험이 있다. 실제로 규제되지 않은 생성형 AI 정신건강 도구의 위험성은 비판적으로 제기되어 왔으며(Parks et al., 2025), 보건의료 AI의 윤리·거버넌스에 대한 국제적 우려도 커지고 있다(World Health Organization, 2021).</w:t>
      </w:r>
    </w:p>
    <w:p>
      <w:pPr>
        <w:pStyle w:val="BodyText"/>
        <w:spacing w:lineRule="auto" w:line="384"/>
        <w:jc w:val="both"/>
      </w:pPr>
      <w:r>
        <w:rPr>
          <w:rFonts w:ascii="바탕" w:hAnsi="바탕" w:eastAsia="바탕" w:cs="바탕"/>
          <w:sz w:val="21"/>
        </w:rPr>
        <w:t xml:space="preserve">그럼에도 현재의 논의는 기술 중심으로 치우쳐, 검증된 영상치료 이론의 관점에서 AI 영상치유의 가능성과 한계를 체계적으로 비교한 연구가 부족하다. 막연한 기대와 비관 사이에서, 치료 기제에 정박한 분석이 요청된다.</w:t>
      </w:r>
    </w:p>
    <w:bookmarkEnd w:id="14"/>
    <w:bookmarkStart w:id="15" w:name="X7fda405224fe72086898064a964e785fc85c02d"/>
    <w:p>
      <w:pPr>
        <w:pStyle w:val="Heading3"/>
        <w:spacing w:lineRule="auto" w:line="384" w:before="240" w:after="120"/>
        <w:jc w:val="left"/>
      </w:pPr>
      <w:r>
        <w:rPr>
          <w:rFonts w:ascii="돋움" w:hAnsi="돋움" w:eastAsia="돋움" w:cs="돋움"/>
          <w:b/>
        </w:rPr>
        <w:t xml:space="preserve">3. 연구 목적 및 연구 문제</w:t>
      </w:r>
    </w:p>
    <w:p>
      <w:pPr>
        <w:pStyle w:val="FirstParagraph"/>
        <w:spacing w:lineRule="auto" w:line="384"/>
        <w:jc w:val="both"/>
      </w:pPr>
      <w:r>
        <w:rPr>
          <w:rFonts w:ascii="바탕" w:hAnsi="바탕" w:eastAsia="바탕" w:cs="바탕"/>
          <w:sz w:val="21"/>
        </w:rPr>
        <w:t xml:space="preserve">본 연구의 목적은 영상치료의 치료 기제에 정박한 통합 분석틀을 구성하고, 이를 적용하여 AI 영상치유의 가능성과 한계를 비판적으로 비교·고찰함으로써, 책임 있는 도입 방향을 도출하는 데 있다. 이를 위해 다음의 연구 문제를 설정한다.</w:t>
      </w:r>
    </w:p>
    <w:p>
      <w:pPr>
        <w:pStyle w:val="Compact"/>
        <w:numPr>
          <w:ilvl w:val="0"/>
          <w:numId w:val="1001"/>
        </w:numPr>
        <w:spacing w:lineRule="auto" w:line="384"/>
        <w:jc w:val="both"/>
      </w:pPr>
      <w:r>
        <w:rPr>
          <w:rFonts w:ascii="바탕" w:hAnsi="바탕" w:eastAsia="바탕" w:cs="바탕"/>
          <w:b/>
          <w:bCs/>
          <w:sz w:val="21"/>
        </w:rPr>
        <w:t xml:space="preserve">연구 문제 1.</w:t>
      </w:r>
      <w:r>
        <w:rPr>
          <w:rFonts w:ascii="바탕" w:hAnsi="바탕" w:eastAsia="바탕" w:cs="바탕"/>
          <w:sz w:val="21"/>
        </w:rPr>
        <w:t xml:space="preserve"> </w:t>
      </w:r>
      <w:r>
        <w:rPr>
          <w:rFonts w:ascii="바탕" w:hAnsi="바탕" w:eastAsia="바탕" w:cs="바탕"/>
          <w:sz w:val="21"/>
        </w:rPr>
        <w:t xml:space="preserve">영상치료의 핵심 치료 기제와 이론적 근거는 무엇이며, 이를 AI 영상치유 평가에 적용할 분석틀은 어떻게 구성되는가?</w:t>
      </w:r>
    </w:p>
    <w:p>
      <w:pPr>
        <w:pStyle w:val="Compact"/>
        <w:numPr>
          <w:ilvl w:val="0"/>
          <w:numId w:val="1001"/>
        </w:numPr>
        <w:spacing w:lineRule="auto" w:line="384"/>
        <w:jc w:val="both"/>
      </w:pPr>
      <w:r>
        <w:rPr>
          <w:rFonts w:ascii="바탕" w:hAnsi="바탕" w:eastAsia="바탕" w:cs="바탕"/>
          <w:b/>
          <w:bCs/>
          <w:sz w:val="21"/>
        </w:rPr>
        <w:t xml:space="preserve">연구 문제 2.</w:t>
      </w:r>
      <w:r>
        <w:rPr>
          <w:rFonts w:ascii="바탕" w:hAnsi="바탕" w:eastAsia="바탕" w:cs="바탕"/>
          <w:sz w:val="21"/>
        </w:rPr>
        <w:t xml:space="preserve"> </w:t>
      </w:r>
      <w:r>
        <w:rPr>
          <w:rFonts w:ascii="바탕" w:hAnsi="바탕" w:eastAsia="바탕" w:cs="바탕"/>
          <w:sz w:val="21"/>
        </w:rPr>
        <w:t xml:space="preserve">구성된 분석틀에 비추어, AI 영상치유의 가능성은 무엇인가?</w:t>
      </w:r>
    </w:p>
    <w:p>
      <w:pPr>
        <w:pStyle w:val="Compact"/>
        <w:numPr>
          <w:ilvl w:val="0"/>
          <w:numId w:val="1001"/>
        </w:numPr>
        <w:spacing w:lineRule="auto" w:line="384"/>
        <w:jc w:val="both"/>
      </w:pPr>
      <w:r>
        <w:rPr>
          <w:rFonts w:ascii="바탕" w:hAnsi="바탕" w:eastAsia="바탕" w:cs="바탕"/>
          <w:b/>
          <w:bCs/>
          <w:sz w:val="21"/>
        </w:rPr>
        <w:t xml:space="preserve">연구 문제 3.</w:t>
      </w:r>
      <w:r>
        <w:rPr>
          <w:rFonts w:ascii="바탕" w:hAnsi="바탕" w:eastAsia="바탕" w:cs="바탕"/>
          <w:sz w:val="21"/>
        </w:rPr>
        <w:t xml:space="preserve"> </w:t>
      </w:r>
      <w:r>
        <w:rPr>
          <w:rFonts w:ascii="바탕" w:hAnsi="바탕" w:eastAsia="바탕" w:cs="바탕"/>
          <w:sz w:val="21"/>
        </w:rPr>
        <w:t xml:space="preserve">동일한 분석틀에 비추어 AI 영상치유의 한계는 무엇이며, 양자는 어떻게 통합될 수 있는가?</w:t>
      </w:r>
    </w:p>
    <w:p>
      <w:pPr>
        <w:spacing w:lineRule="auto" w:line="384"/>
        <w:jc w:val="both"/>
      </w:pPr>
      <w:r>
        <w:rPr>
          <w:rFonts w:ascii="바탕" w:hAnsi="바탕" w:eastAsia="바탕" w:cs="바탕"/>
          <w:sz w:val="21"/>
        </w:rPr>
        <w:pict>
          <v:rect style="width:0;height:1.5pt" o:hralign="center" o:hrstd="t" o:hr="t"/>
        </w:pict>
      </w:r>
    </w:p>
    <w:bookmarkEnd w:id="15"/>
    <w:bookmarkEnd w:id="16"/>
    <w:bookmarkStart w:id="20" w:name="X725765e34492272bec695a8fa9002d9dca43a97"/>
    <w:p>
      <w:pPr>
        <w:pStyle w:val="Heading2"/>
        <w:spacing w:lineRule="auto" w:line="384" w:before="240" w:after="120"/>
        <w:jc w:val="left"/>
      </w:pPr>
      <w:r>
        <w:rPr>
          <w:rFonts w:ascii="돋움" w:hAnsi="돋움" w:eastAsia="돋움" w:cs="돋움"/>
          <w:b/>
        </w:rPr>
        <w:t xml:space="preserve">Ⅱ. 연구 방법</w:t>
      </w:r>
    </w:p>
    <w:bookmarkStart w:id="17" w:name="Xa61171a1cfd4139a45b6d31c2c74ac1f28b036f"/>
    <w:p>
      <w:pPr>
        <w:pStyle w:val="Heading3"/>
        <w:spacing w:lineRule="auto" w:line="384" w:before="240" w:after="120"/>
        <w:jc w:val="left"/>
      </w:pPr>
      <w:r>
        <w:rPr>
          <w:rFonts w:ascii="돋움" w:hAnsi="돋움" w:eastAsia="돋움" w:cs="돋움"/>
          <w:b/>
        </w:rPr>
        <w:t xml:space="preserve">1. 연구 설계</w:t>
      </w:r>
    </w:p>
    <w:p>
      <w:pPr>
        <w:pStyle w:val="FirstParagraph"/>
        <w:spacing w:lineRule="auto" w:line="384"/>
        <w:jc w:val="both"/>
      </w:pPr>
      <w:r>
        <w:rPr>
          <w:rFonts w:ascii="바탕" w:hAnsi="바탕" w:eastAsia="바탕" w:cs="바탕"/>
          <w:sz w:val="21"/>
        </w:rPr>
        <w:t xml:space="preserve">본 연구는 이론적 문헌고찰(theoretical literature review)을 연구 설계로 채택한다. 이는 새로운 실증 자료를 수집·검증하는 대신, 기존의 이론과 경험적 근거를 비판적으로 종합하여 개념적 분석틀을 구성하고 이를 특정 현상에 적용하는 방법으로, 실증연구가 아직 축적되지 않은 신생 영역의 쟁점을 선제적으로 규명하는 데 적합하다. 따라서 본 연구의 결론은 단정적 효과 평가가 아니라, 후속 실증연구를 위한 가설과 도입 원칙의 성격을 갖는다.</w:t>
      </w:r>
    </w:p>
    <w:bookmarkEnd w:id="17"/>
    <w:bookmarkStart w:id="18" w:name="Xac58d20185f6fa5c5f97d60f334d3fd6867c400"/>
    <w:p>
      <w:pPr>
        <w:pStyle w:val="Heading3"/>
        <w:spacing w:lineRule="auto" w:line="384" w:before="240" w:after="120"/>
        <w:jc w:val="left"/>
      </w:pPr>
      <w:r>
        <w:rPr>
          <w:rFonts w:ascii="돋움" w:hAnsi="돋움" w:eastAsia="돋움" w:cs="돋움"/>
          <w:b/>
        </w:rPr>
        <w:t xml:space="preserve">2. 문헌 검색 및 선정</w:t>
      </w:r>
    </w:p>
    <w:p>
      <w:pPr>
        <w:pStyle w:val="FirstParagraph"/>
        <w:spacing w:lineRule="auto" w:line="384"/>
        <w:jc w:val="both"/>
      </w:pPr>
      <w:r>
        <w:rPr>
          <w:rFonts w:ascii="바탕" w:hAnsi="바탕" w:eastAsia="바탕" w:cs="바탕"/>
          <w:sz w:val="21"/>
        </w:rPr>
        <w:t xml:space="preserve">문헌은 국외의 PubMed·PsycINFO·Google Scholar와 국내의 KCI·RISS를 대상으로 수집하였다. 검색어는 '영상치료/video therapy', '영화치료/cinema therapy', '치료적 동맹/therapeutic alliance', '생성형 AI/generative AI', '텍스트-투-비디오/text-to-video', '디지털 정신건강/digital mental health' 등을 조합하였다. 선정 기준은 (1) 영상·영화치료의 이론·기제·효과를 다룬 문헌, (2) 심리치료 공통요인·치료적 동맹에 관한 문헌, (3) 디지털·생성형 AI 정신건강 개입의 효과·위험·윤리를 다룬 문헌으로 하였다. 이론적 정박을 위해 해당 분야의 고전·1차 문헌(seminal works)을 우선 포함하고, 신생 기술의 시의성을 위해 최근 문헌을 함께 포함하였다.</w:t>
      </w:r>
    </w:p>
    <w:bookmarkEnd w:id="18"/>
    <w:bookmarkStart w:id="19" w:name="X40b976e0f9d65217cf77ecd3a36c1e1e7a38035"/>
    <w:p>
      <w:pPr>
        <w:pStyle w:val="Heading3"/>
        <w:spacing w:lineRule="auto" w:line="384" w:before="240" w:after="120"/>
        <w:jc w:val="left"/>
      </w:pPr>
      <w:r>
        <w:rPr>
          <w:rFonts w:ascii="돋움" w:hAnsi="돋움" w:eastAsia="돋움" w:cs="돋움"/>
          <w:b/>
        </w:rPr>
        <w:t xml:space="preserve">3. 분석틀</w:t>
      </w:r>
    </w:p>
    <w:p>
      <w:pPr>
        <w:pStyle w:val="FirstParagraph"/>
        <w:spacing w:lineRule="auto" w:line="384"/>
        <w:jc w:val="both"/>
      </w:pPr>
      <w:r>
        <w:rPr>
          <w:rFonts w:ascii="바탕" w:hAnsi="바탕" w:eastAsia="바탕" w:cs="바탕"/>
          <w:sz w:val="21"/>
        </w:rPr>
        <w:t xml:space="preserve">본 연구는 영상치료의 다섯 가지 핵심 기제—① 동일시와 투사, ② 정서적 정화(Yalom &amp; Leszcz, 2020), ③ 보편성(Yalom &amp; Leszcz, 2020), ④ 관찰학습(Bandura, 1977), ⑤ 치료적 대화의 매개(Bordin, 1979; Sacilotto et al., 2022)—를 통합하여 분석 렌즈를 구성하였다. 가능성과 한계는 모두 이 다섯 기제에 비추어 도출하며, 윤리적 한계는 보건의료·정신건강 AI 윤리 규범(World Health Organization, 2021; American Psychological Association, 2025)에 정박하여 분석한다.</w:t>
      </w:r>
    </w:p>
    <w:p>
      <w:pPr>
        <w:spacing w:lineRule="auto" w:line="384"/>
        <w:jc w:val="both"/>
      </w:pPr>
      <w:r>
        <w:rPr>
          <w:rFonts w:ascii="바탕" w:hAnsi="바탕" w:eastAsia="바탕" w:cs="바탕"/>
          <w:sz w:val="21"/>
        </w:rPr>
        <w:pict>
          <v:rect style="width:0;height:1.5pt" o:hralign="center" o:hrstd="t" o:hr="t"/>
        </w:pict>
      </w:r>
    </w:p>
    <w:bookmarkEnd w:id="19"/>
    <w:bookmarkEnd w:id="20"/>
    <w:bookmarkStart w:id="24" w:name="Xe0d856097b3db49b28b95a09067d77185b4e904"/>
    <w:p>
      <w:pPr>
        <w:pStyle w:val="Heading2"/>
        <w:spacing w:lineRule="auto" w:line="384" w:before="240" w:after="120"/>
        <w:jc w:val="left"/>
      </w:pPr>
      <w:r>
        <w:rPr>
          <w:rFonts w:ascii="돋움" w:hAnsi="돋움" w:eastAsia="돋움" w:cs="돋움"/>
          <w:b/>
        </w:rPr>
        <w:t xml:space="preserve">Ⅲ. 이론적 배경: 영상치료(Video Therapy)</w:t>
      </w:r>
    </w:p>
    <w:bookmarkStart w:id="21" w:name="Xd5cc485eb675ee2b5c53cf337d616d5738ea329"/>
    <w:p>
      <w:pPr>
        <w:pStyle w:val="Heading3"/>
        <w:spacing w:lineRule="auto" w:line="384" w:before="240" w:after="120"/>
        <w:jc w:val="left"/>
      </w:pPr>
      <w:r>
        <w:rPr>
          <w:rFonts w:ascii="돋움" w:hAnsi="돋움" w:eastAsia="돋움" w:cs="돋움"/>
          <w:b/>
        </w:rPr>
        <w:t xml:space="preserve">1. 영상치료의 개념과 유형</w:t>
      </w:r>
    </w:p>
    <w:p>
      <w:pPr>
        <w:pStyle w:val="FirstParagraph"/>
        <w:spacing w:lineRule="auto" w:line="384"/>
        <w:jc w:val="both"/>
      </w:pPr>
      <w:r>
        <w:rPr>
          <w:rFonts w:ascii="바탕" w:hAnsi="바탕" w:eastAsia="바탕" w:cs="바탕"/>
          <w:sz w:val="21"/>
        </w:rPr>
        <w:t xml:space="preserve">영상치료는 영상 매체를 매개로 하는 심리치료적 개입을 포괄하는 용어이다. Sacilotto 등(2022)은 영상치료를 크게 상업 영화를 활용하는 고전적 영화치료(classical cinematherapy)와, 특정 기술을 시연하는 영상을 통해 모방학습을 유도하는 비디오 모델링(video modeling)으로 구분하였다. 넓은 의미에서 영상치료는 다음을 포함한다.</w:t>
      </w:r>
    </w:p>
    <w:p>
      <w:pPr>
        <w:pStyle w:val="Compact"/>
        <w:numPr>
          <w:ilvl w:val="0"/>
          <w:numId w:val="1002"/>
        </w:numPr>
        <w:spacing w:lineRule="auto" w:line="384"/>
        <w:jc w:val="both"/>
      </w:pPr>
      <w:r>
        <w:rPr>
          <w:rFonts w:ascii="바탕" w:hAnsi="바탕" w:eastAsia="바탕" w:cs="바탕"/>
          <w:b/>
          <w:bCs/>
          <w:sz w:val="21"/>
        </w:rPr>
        <w:t xml:space="preserve">영화치료(cinema therapy)</w:t>
      </w:r>
      <w:r>
        <w:rPr>
          <w:rFonts w:ascii="바탕" w:hAnsi="바탕" w:eastAsia="바탕" w:cs="바탕"/>
          <w:sz w:val="21"/>
        </w:rPr>
        <w:t xml:space="preserve">: 내담자에게 호소 문제와 관련된 영화·장면을 처방·시청하게 하고, 동일시와 거리두기를 통해 자기 문제를 투사하고 통찰을 얻게 하는 접근이다. Hesley와 Hesley(2001)는 이를 '비디오워크(videowork)'로 명명하고, 시청 후 치료자와의 대화를 통해 영화 속 인물의 갈등과 내담자의 경험을 연결하는 체계적 기법을 제시하였다.</w:t>
      </w:r>
    </w:p>
    <w:p>
      <w:pPr>
        <w:pStyle w:val="Compact"/>
        <w:numPr>
          <w:ilvl w:val="0"/>
          <w:numId w:val="1002"/>
        </w:numPr>
        <w:spacing w:lineRule="auto" w:line="384"/>
        <w:jc w:val="both"/>
      </w:pPr>
      <w:r>
        <w:rPr>
          <w:rFonts w:ascii="바탕" w:hAnsi="바탕" w:eastAsia="바탕" w:cs="바탕"/>
          <w:b/>
          <w:bCs/>
          <w:sz w:val="21"/>
        </w:rPr>
        <w:t xml:space="preserve">비디오 자기표현·자기대면(video self-confrontation)</w:t>
      </w:r>
      <w:r>
        <w:rPr>
          <w:rFonts w:ascii="바탕" w:hAnsi="바탕" w:eastAsia="바탕" w:cs="바탕"/>
          <w:sz w:val="21"/>
        </w:rPr>
        <w:t xml:space="preserve">: 내담자가 자신을 촬영한 영상을 보거나 직접 영상을 제작하여 자기 인식과 표현을 확장하는 접근이다. 자신을 객관적으로 관찰하는 과정에서 평소 의식하지 못한 행동·정서 패턴을 자각하게 된다.</w:t>
      </w:r>
    </w:p>
    <w:p>
      <w:pPr>
        <w:pStyle w:val="Compact"/>
        <w:numPr>
          <w:ilvl w:val="0"/>
          <w:numId w:val="1002"/>
        </w:numPr>
        <w:spacing w:lineRule="auto" w:line="384"/>
        <w:jc w:val="both"/>
      </w:pPr>
      <w:r>
        <w:rPr>
          <w:rFonts w:ascii="바탕" w:hAnsi="바탕" w:eastAsia="바탕" w:cs="바탕"/>
          <w:b/>
          <w:bCs/>
          <w:sz w:val="21"/>
        </w:rPr>
        <w:t xml:space="preserve">비디오 모델링(video modeling)</w:t>
      </w:r>
      <w:r>
        <w:rPr>
          <w:rFonts w:ascii="바탕" w:hAnsi="바탕" w:eastAsia="바탕" w:cs="바탕"/>
          <w:sz w:val="21"/>
        </w:rPr>
        <w:t xml:space="preserve">: 특정 적응적 행동을 시연하는 영상을 관찰하게 하여 모방학습을 유도하는 접근으로, Bandura(1977)의 사회학습이론에 이론적 기반을 둔다.</w:t>
      </w:r>
    </w:p>
    <w:p>
      <w:pPr>
        <w:pStyle w:val="Compact"/>
        <w:numPr>
          <w:ilvl w:val="0"/>
          <w:numId w:val="1002"/>
        </w:numPr>
        <w:spacing w:lineRule="auto" w:line="384"/>
        <w:jc w:val="both"/>
      </w:pPr>
      <w:r>
        <w:rPr>
          <w:rFonts w:ascii="바탕" w:hAnsi="바탕" w:eastAsia="바탕" w:cs="바탕"/>
          <w:b/>
          <w:bCs/>
          <w:sz w:val="21"/>
        </w:rPr>
        <w:t xml:space="preserve">영상 기반 회상·이완·심상유도</w:t>
      </w:r>
      <w:r>
        <w:rPr>
          <w:rFonts w:ascii="바탕" w:hAnsi="바탕" w:eastAsia="바탕" w:cs="바탕"/>
          <w:sz w:val="21"/>
        </w:rPr>
        <w:t xml:space="preserve">: 자연·명상·기억을 자극하는 영상으로 정서적 안정과 회상을 유도하는 접근이다.</w:t>
      </w:r>
    </w:p>
    <w:bookmarkEnd w:id="21"/>
    <w:bookmarkStart w:id="22" w:name="X3f3c77a3fa6929915531bb8562b10f9aaeee55c"/>
    <w:p>
      <w:pPr>
        <w:pStyle w:val="Heading3"/>
        <w:spacing w:lineRule="auto" w:line="384" w:before="240" w:after="120"/>
        <w:jc w:val="left"/>
      </w:pPr>
      <w:r>
        <w:rPr>
          <w:rFonts w:ascii="돋움" w:hAnsi="돋움" w:eastAsia="돋움" w:cs="돋움"/>
          <w:b/>
        </w:rPr>
        <w:t xml:space="preserve">2. 핵심 치료 기제</w:t>
      </w:r>
    </w:p>
    <w:p>
      <w:pPr>
        <w:pStyle w:val="FirstParagraph"/>
        <w:spacing w:lineRule="auto" w:line="384"/>
        <w:jc w:val="both"/>
      </w:pPr>
      <w:r>
        <w:rPr>
          <w:rFonts w:ascii="바탕" w:hAnsi="바탕" w:eastAsia="바탕" w:cs="바탕"/>
          <w:sz w:val="21"/>
        </w:rPr>
        <w:t xml:space="preserve">영상치료의 치유적 작용은 다음 기제들로 설명된다(Sacilotto et al., 2022).</w:t>
      </w:r>
    </w:p>
    <w:p>
      <w:pPr>
        <w:pStyle w:val="Compact"/>
        <w:numPr>
          <w:ilvl w:val="0"/>
          <w:numId w:val="1003"/>
        </w:numPr>
        <w:spacing w:lineRule="auto" w:line="384"/>
        <w:jc w:val="both"/>
      </w:pPr>
      <w:r>
        <w:rPr>
          <w:rFonts w:ascii="바탕" w:hAnsi="바탕" w:eastAsia="바탕" w:cs="바탕"/>
          <w:b/>
          <w:bCs/>
          <w:sz w:val="21"/>
        </w:rPr>
        <w:t xml:space="preserve">동일시와 투사(identification &amp; projection)</w:t>
      </w:r>
      <w:r>
        <w:rPr>
          <w:rFonts w:ascii="바탕" w:hAnsi="바탕" w:eastAsia="바탕" w:cs="바탕"/>
          <w:sz w:val="21"/>
        </w:rPr>
        <w:t xml:space="preserve">: 내담자는 영상 속 인물·상황에 자신을 투영하여, 직접 말하기 어려운 감정과 갈등을 안전한 거리에서 다룬다. 국내 연구에서도 위기청소년 대상 집단영화치료가 동일시를 통해 정서조절력을 향상시키고 문제행동을 감소시킨 것으로 보고되었다(강은주, 천성문, 2011).</w:t>
      </w:r>
    </w:p>
    <w:p>
      <w:pPr>
        <w:pStyle w:val="Compact"/>
        <w:numPr>
          <w:ilvl w:val="0"/>
          <w:numId w:val="1003"/>
        </w:numPr>
        <w:spacing w:lineRule="auto" w:line="384"/>
        <w:jc w:val="both"/>
      </w:pPr>
      <w:r>
        <w:rPr>
          <w:rFonts w:ascii="바탕" w:hAnsi="바탕" w:eastAsia="바탕" w:cs="바탕"/>
          <w:b/>
          <w:bCs/>
          <w:sz w:val="21"/>
        </w:rPr>
        <w:t xml:space="preserve">정서적 정화(catharsis)</w:t>
      </w:r>
      <w:r>
        <w:rPr>
          <w:rFonts w:ascii="바탕" w:hAnsi="바탕" w:eastAsia="바탕" w:cs="바탕"/>
          <w:sz w:val="21"/>
        </w:rPr>
        <w:t xml:space="preserve">: 영상이 환기한 감정을 표출·경험함으로써 긴장이 해소되고 정서가 정리된다. 정화는 집단·개인 심리치료의 핵심 치료 요인으로 오랫동안 논의되어 왔으며(Yalom &amp; Leszcz, 2020), 그 자체로 해소감을 줄 뿐 아니라 이후의 통찰을 위한 토대가 된다.</w:t>
      </w:r>
    </w:p>
    <w:p>
      <w:pPr>
        <w:pStyle w:val="Compact"/>
        <w:numPr>
          <w:ilvl w:val="0"/>
          <w:numId w:val="1003"/>
        </w:numPr>
        <w:spacing w:lineRule="auto" w:line="384"/>
        <w:jc w:val="both"/>
      </w:pPr>
      <w:r>
        <w:rPr>
          <w:rFonts w:ascii="바탕" w:hAnsi="바탕" w:eastAsia="바탕" w:cs="바탕"/>
          <w:b/>
          <w:bCs/>
          <w:sz w:val="21"/>
        </w:rPr>
        <w:t xml:space="preserve">보편성(universality)</w:t>
      </w:r>
      <w:r>
        <w:rPr>
          <w:rFonts w:ascii="바탕" w:hAnsi="바탕" w:eastAsia="바탕" w:cs="바탕"/>
          <w:sz w:val="21"/>
        </w:rPr>
        <w:t xml:space="preserve">: 비슷한 고통을 겪는 인물을 보며 '나만 그런 것이 아니다'를 경험하는 것은 고립감을 완화하는 강력한 치료 요인이다(Yalom &amp; Leszcz, 2020). 영상의 서사는 이러한 보편성 경험을 효과적으로 매개한다.</w:t>
      </w:r>
    </w:p>
    <w:p>
      <w:pPr>
        <w:pStyle w:val="Compact"/>
        <w:numPr>
          <w:ilvl w:val="0"/>
          <w:numId w:val="1003"/>
        </w:numPr>
        <w:spacing w:lineRule="auto" w:line="384"/>
        <w:jc w:val="both"/>
      </w:pPr>
      <w:r>
        <w:rPr>
          <w:rFonts w:ascii="바탕" w:hAnsi="바탕" w:eastAsia="바탕" w:cs="바탕"/>
          <w:b/>
          <w:bCs/>
          <w:sz w:val="21"/>
        </w:rPr>
        <w:t xml:space="preserve">관찰학습과 정서 조절(observational learning &amp; affect regulation)</w:t>
      </w:r>
      <w:r>
        <w:rPr>
          <w:rFonts w:ascii="바탕" w:hAnsi="바탕" w:eastAsia="바탕" w:cs="바탕"/>
          <w:sz w:val="21"/>
        </w:rPr>
        <w:t xml:space="preserve">: 영상 속 인물의 대처를 관찰함으로써 적응적 행동을 학습하며(Bandura, 1977), 안정적·심미적 영상 자극은 자율신경계를 안정시켜 스트레스를 완화한다. 실제로 영화치료 프로그램은 우울증 중년여성의 우울 감소와 정서표현성 향상에 효과가 있는 것으로 나타났다(신경아, 2018).</w:t>
      </w:r>
    </w:p>
    <w:p>
      <w:pPr>
        <w:pStyle w:val="Compact"/>
        <w:numPr>
          <w:ilvl w:val="0"/>
          <w:numId w:val="1003"/>
        </w:numPr>
        <w:spacing w:lineRule="auto" w:line="384"/>
        <w:jc w:val="both"/>
      </w:pPr>
      <w:r>
        <w:rPr>
          <w:rFonts w:ascii="바탕" w:hAnsi="바탕" w:eastAsia="바탕" w:cs="바탕"/>
          <w:b/>
          <w:bCs/>
          <w:sz w:val="21"/>
        </w:rPr>
        <w:t xml:space="preserve">치료적 대화의 매개(therapeutic mediation)</w:t>
      </w:r>
      <w:r>
        <w:rPr>
          <w:rFonts w:ascii="바탕" w:hAnsi="바탕" w:eastAsia="바탕" w:cs="바탕"/>
          <w:sz w:val="21"/>
        </w:rPr>
        <w:t xml:space="preserve">: 영상은 그 자체로 치유하는 것이 아니라, 시청 후 치료자와 나누는 대화·해석의 촉매로 기능한다. Sacilotto 등(2022)은 영상의 공유 시청이 치료자와 내담자 사이에 '공통의 언어(common vocabulary)'를 형성하여 치료적 관계를 강화한다고 보았다.</w:t>
      </w:r>
    </w:p>
    <w:p>
      <w:pPr>
        <w:pStyle w:val="FirstParagraph"/>
        <w:spacing w:lineRule="auto" w:line="384"/>
        <w:jc w:val="both"/>
      </w:pPr>
      <w:r>
        <w:rPr>
          <w:rFonts w:ascii="바탕" w:hAnsi="바탕" w:eastAsia="바탕" w:cs="바탕"/>
          <w:sz w:val="21"/>
        </w:rPr>
        <w:t xml:space="preserve">이 가운데 다섯 번째, 즉 영상이 치료적 관계와 대화 속에서 의미를 획득한다는 점은 본 연구의 비교 고찰에서 핵심 기준이 된다.</w:t>
      </w:r>
    </w:p>
    <w:bookmarkEnd w:id="22"/>
    <w:bookmarkStart w:id="23" w:name="X857902f738b510d8394670a6181bb2f3fa9e2d9"/>
    <w:p>
      <w:pPr>
        <w:pStyle w:val="Heading3"/>
        <w:spacing w:lineRule="auto" w:line="384" w:before="240" w:after="120"/>
        <w:jc w:val="left"/>
      </w:pPr>
      <w:r>
        <w:rPr>
          <w:rFonts w:ascii="돋움" w:hAnsi="돋움" w:eastAsia="돋움" w:cs="돋움"/>
          <w:b/>
        </w:rPr>
        <w:t xml:space="preserve">3. 치료적 동맹</w:t>
      </w:r>
    </w:p>
    <w:p>
      <w:pPr>
        <w:pStyle w:val="FirstParagraph"/>
        <w:spacing w:lineRule="auto" w:line="384"/>
        <w:jc w:val="both"/>
      </w:pPr>
      <w:r>
        <w:rPr>
          <w:rFonts w:ascii="바탕" w:hAnsi="바탕" w:eastAsia="바탕" w:cs="바탕"/>
          <w:sz w:val="21"/>
        </w:rPr>
        <w:t xml:space="preserve">심리치료 성과를 설명하는 공통요인 연구는 기법의 종류보다 치료적 관계가 성과를 더 잘 예측함을 일관되게 보고해 왔다(Cuijpers et al., 2019). Bordin(1979)은 이 관계를 목표(goals)·과제(tasks)·유대(bonds)로 구성된 작업동맹(working alliance)으로 개념화하고, 변화의 핵심이 동맹의 강도에 있다고 보았다. 다수 연구를 종합한 메타분석 역시 동맹이 치료 지향과 무관하게 성과를 예측하는 강건한 변인임을 확인하였다(Flückiger et al., 2018). 영상치료에서도 영상이라는 도구의 효과는 이 관계적 토대 위에서 발현되며, 이 지점은 인간 치료자가 부재하거나 약화된 AI 영상치유의 구조적 한계를 평가하는 준거가 된다.</w:t>
      </w:r>
    </w:p>
    <w:p>
      <w:pPr>
        <w:spacing w:lineRule="auto" w:line="384"/>
        <w:jc w:val="both"/>
      </w:pPr>
      <w:r>
        <w:rPr>
          <w:rFonts w:ascii="바탕" w:hAnsi="바탕" w:eastAsia="바탕" w:cs="바탕"/>
          <w:sz w:val="21"/>
        </w:rPr>
        <w:pict>
          <v:rect style="width:0;height:1.5pt" o:hralign="center" o:hrstd="t" o:hr="t"/>
        </w:pict>
      </w:r>
    </w:p>
    <w:bookmarkEnd w:id="23"/>
    <w:bookmarkEnd w:id="24"/>
    <w:bookmarkStart w:id="27" w:name="Xa06267814bf5c5c4b2814318df52f74de664a8c"/>
    <w:p>
      <w:pPr>
        <w:pStyle w:val="Heading2"/>
        <w:spacing w:lineRule="auto" w:line="384" w:before="240" w:after="120"/>
        <w:jc w:val="left"/>
      </w:pPr>
      <w:r>
        <w:rPr>
          <w:rFonts w:ascii="돋움" w:hAnsi="돋움" w:eastAsia="돋움" w:cs="돋움"/>
          <w:b/>
        </w:rPr>
        <w:t xml:space="preserve">Ⅳ. AI 영상치유의 개념과 현황</w:t>
      </w:r>
    </w:p>
    <w:bookmarkStart w:id="25" w:name="X3dc0ad735525aaa9f2b28d463462468cb4f1f8c"/>
    <w:p>
      <w:pPr>
        <w:pStyle w:val="Heading3"/>
        <w:spacing w:lineRule="auto" w:line="384" w:before="240" w:after="120"/>
        <w:jc w:val="left"/>
      </w:pPr>
      <w:r>
        <w:rPr>
          <w:rFonts w:ascii="돋움" w:hAnsi="돋움" w:eastAsia="돋움" w:cs="돋움"/>
          <w:b/>
        </w:rPr>
        <w:t xml:space="preserve">1. 기술적 토대</w:t>
      </w:r>
    </w:p>
    <w:p>
      <w:pPr>
        <w:pStyle w:val="FirstParagraph"/>
        <w:spacing w:lineRule="auto" w:line="384"/>
        <w:jc w:val="both"/>
      </w:pPr>
      <w:r>
        <w:rPr>
          <w:rFonts w:ascii="바탕" w:hAnsi="바탕" w:eastAsia="바탕" w:cs="바탕"/>
          <w:sz w:val="21"/>
        </w:rPr>
        <w:t xml:space="preserve">AI 영상치유의 기술적 기반은 디퓨전 트랜스포머(diffusion transformer) 계열의 텍스트-투-비디오 모델로, 자연어 프롬프트로부터 고해상도 영상을 생성한다(Sun et al., 2024; Liu et al., 2024). 여기에 사용자의 정서 상태·선호·이력을 반영하는 개인화 알고리즘과, 언어적 입력을 해석해 적절한 영상·음성·텍스트를 제공하는 대화형 멀티모달 상호작용이 결합된다. 정서·행동 지원을 목적으로 한 생성형 AI 챗봇은 이미 다양하게 시도되고 있다(Wang et al., 2025).</w:t>
      </w:r>
    </w:p>
    <w:p>
      <w:pPr>
        <w:pStyle w:val="BodyText"/>
        <w:spacing w:lineRule="auto" w:line="384"/>
        <w:jc w:val="both"/>
      </w:pPr>
      <w:r>
        <w:rPr>
          <w:rFonts w:ascii="바탕" w:hAnsi="바탕" w:eastAsia="바탕" w:cs="바탕"/>
          <w:sz w:val="21"/>
        </w:rPr>
        <w:t xml:space="preserve">다만 이 기술은 본질적 한계를 지닌다. 생성 결과는 학습 데이터의 통계적 패턴에 기반하므로 의도와 다른 산출과 세부 통제의 불완전성, 학습 데이터 편향을 내포하며, 산출 근거에 대한 설명가능성이 낮다(Sun et al., 2024).</w:t>
      </w:r>
    </w:p>
    <w:bookmarkEnd w:id="25"/>
    <w:bookmarkStart w:id="26" w:name="X25bd2b856a8d2824addd0315c4de68526519018"/>
    <w:p>
      <w:pPr>
        <w:pStyle w:val="Heading3"/>
        <w:spacing w:lineRule="auto" w:line="384" w:before="240" w:after="120"/>
        <w:jc w:val="left"/>
      </w:pPr>
      <w:r>
        <w:rPr>
          <w:rFonts w:ascii="돋움" w:hAnsi="돋움" w:eastAsia="돋움" w:cs="돋움"/>
          <w:b/>
        </w:rPr>
        <w:t xml:space="preserve">2. 디지털 정신건강 맥락</w:t>
      </w:r>
    </w:p>
    <w:p>
      <w:pPr>
        <w:pStyle w:val="FirstParagraph"/>
        <w:spacing w:lineRule="auto" w:line="384"/>
        <w:jc w:val="both"/>
      </w:pPr>
      <w:r>
        <w:rPr>
          <w:rFonts w:ascii="바탕" w:hAnsi="바탕" w:eastAsia="바탕" w:cs="바탕"/>
          <w:sz w:val="21"/>
        </w:rPr>
        <w:t xml:space="preserve">AI 영상치유는 보다 넓게는 디지털 정신건강 흐름의 일부이다. 정신건강 서비스의 접근성 격차, 인력 부족, 비용 부담을 배경으로 앱·챗봇·VR 등 디지털 개입이 확산되어 왔다. 176편의 무작위통제연구(RCT)를 종합한 메타분석은 정신건강 앱이 우울·불안 증상 완화에 유의한 효과가 있음을 보고하였고(Linardon et al., 2024), 92편의 RCT 분석 역시 디지털 개입이 통제집단 대비 임상적 결과를 개선함을 확인하였으며(Valentine et al., 2025), 생성형 AI 챗봇을 다룬 메타분석은 일정한 효과 가능성을 시사한다(Zhang et al., 2025). 다만 효과성·안전성의 근거는 여전히 축적 중이며, 특히 생성형 AI 기반 도구의 임상적 검증은 초기 단계에 머물러 있다(Wang et al., 2025).</w:t>
      </w:r>
    </w:p>
    <w:p>
      <w:pPr>
        <w:spacing w:lineRule="auto" w:line="384"/>
        <w:jc w:val="both"/>
      </w:pPr>
      <w:r>
        <w:rPr>
          <w:rFonts w:ascii="바탕" w:hAnsi="바탕" w:eastAsia="바탕" w:cs="바탕"/>
          <w:sz w:val="21"/>
        </w:rPr>
        <w:pict>
          <v:rect style="width:0;height:1.5pt" o:hralign="center" o:hrstd="t" o:hr="t"/>
        </w:pict>
      </w:r>
    </w:p>
    <w:bookmarkEnd w:id="26"/>
    <w:bookmarkEnd w:id="27"/>
    <w:bookmarkStart w:id="28" w:name="X9c4778f4fe77e77517669a953417ef4277f110c"/>
    <w:p>
      <w:pPr>
        <w:pStyle w:val="Heading2"/>
        <w:spacing w:lineRule="auto" w:line="384" w:before="240" w:after="120"/>
        <w:jc w:val="left"/>
      </w:pPr>
      <w:r>
        <w:rPr>
          <w:rFonts w:ascii="돋움" w:hAnsi="돋움" w:eastAsia="돋움" w:cs="돋움"/>
          <w:b/>
        </w:rPr>
        <w:t xml:space="preserve">Ⅴ. 분석틀: 영상치료 기제에 기반한 비교 렌즈</w:t>
      </w:r>
    </w:p>
    <w:p>
      <w:pPr>
        <w:pStyle w:val="FirstParagraph"/>
        <w:spacing w:lineRule="auto" w:line="384"/>
        <w:jc w:val="both"/>
      </w:pPr>
      <w:r>
        <w:rPr>
          <w:rFonts w:ascii="바탕" w:hAnsi="바탕" w:eastAsia="바탕" w:cs="바탕"/>
          <w:sz w:val="21"/>
        </w:rPr>
        <w:t xml:space="preserve">앞의 이론을 종합하면, AI 영상치유를 평가하기 위한 비교 분석틀을 〈표 1〉과 같이 구성할 수 있다. 영상치료의 각 기제는 AI 영상치유가 강화할 수 있는 지점(가능성)과 충족하기 어려운 지점(한계)을 동시에 드러내는 렌즈로 기능한다.</w:t>
      </w:r>
    </w:p>
    <w:p>
      <w:pPr>
        <w:pStyle w:val="BodyText"/>
        <w:spacing w:lineRule="auto" w:line="384"/>
        <w:jc w:val="both"/>
      </w:pPr>
      <w:r>
        <w:rPr>
          <w:rFonts w:ascii="바탕" w:hAnsi="바탕" w:eastAsia="바탕" w:cs="바탕"/>
          <w:b/>
          <w:bCs/>
          <w:sz w:val="21"/>
        </w:rPr>
        <w:t xml:space="preserve">〈표 1〉 영상치료 기제에 기반한 AI 영상치유 분석틀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12" w:lineRule="auto"/>
            </w:pPr>
            <w:r>
              <w:rPr>
                <w:rFonts w:ascii="바탕" w:hAnsi="바탕" w:eastAsia="바탕" w:cs="바탕"/>
                <w:sz w:val="20"/>
              </w:rPr>
              <w:t xml:space="preserve">치료 기제</w:t>
            </w:r>
          </w:p>
        </w:tc>
        <w:tc>
          <w:tcPr/>
          <w:p>
            <w:pPr>
              <w:pStyle w:val="Compact"/>
              <w:spacing w:line="312" w:lineRule="auto"/>
            </w:pPr>
            <w:r>
              <w:rPr>
                <w:rFonts w:ascii="바탕" w:hAnsi="바탕" w:eastAsia="바탕" w:cs="바탕"/>
                <w:sz w:val="20"/>
              </w:rPr>
              <w:t xml:space="preserve">AI가 강화할 수 있는 지점</w:t>
            </w:r>
          </w:p>
        </w:tc>
        <w:tc>
          <w:tcPr/>
          <w:p>
            <w:pPr>
              <w:pStyle w:val="Compact"/>
              <w:spacing w:line="312" w:lineRule="auto"/>
            </w:pPr>
            <w:r>
              <w:rPr>
                <w:rFonts w:ascii="바탕" w:hAnsi="바탕" w:eastAsia="바탕" w:cs="바탕"/>
                <w:sz w:val="20"/>
              </w:rPr>
              <w:t xml:space="preserve">AI가 충족하기 어려운 지점</w:t>
            </w:r>
          </w:p>
        </w:tc>
      </w:tr>
      <w:tr>
        <w:tc>
          <w:tcPr/>
          <w:p>
            <w:pPr>
              <w:pStyle w:val="Compact"/>
              <w:spacing w:line="312" w:lineRule="auto"/>
            </w:pPr>
            <w:r>
              <w:rPr>
                <w:rFonts w:ascii="바탕" w:hAnsi="바탕" w:eastAsia="바탕" w:cs="바탕"/>
                <w:sz w:val="20"/>
              </w:rPr>
              <w:t xml:space="preserve">동일시·투사</w:t>
            </w:r>
          </w:p>
        </w:tc>
        <w:tc>
          <w:tcPr/>
          <w:p>
            <w:pPr>
              <w:pStyle w:val="Compact"/>
              <w:spacing w:line="312" w:lineRule="auto"/>
            </w:pPr>
            <w:r>
              <w:rPr>
                <w:rFonts w:ascii="바탕" w:hAnsi="바탕" w:eastAsia="바탕" w:cs="바탕"/>
                <w:sz w:val="20"/>
              </w:rPr>
              <w:t xml:space="preserve">개인 맞춤 심상으로 투사 촉진</w:t>
            </w:r>
          </w:p>
        </w:tc>
        <w:tc>
          <w:tcPr/>
          <w:p>
            <w:pPr>
              <w:pStyle w:val="Compact"/>
              <w:spacing w:line="312" w:lineRule="auto"/>
            </w:pPr>
            <w:r>
              <w:rPr>
                <w:rFonts w:ascii="바탕" w:hAnsi="바탕" w:eastAsia="바탕" w:cs="바탕"/>
                <w:sz w:val="20"/>
              </w:rPr>
              <w:t xml:space="preserve">투사의 임상적 해석 부재</w:t>
            </w:r>
          </w:p>
        </w:tc>
      </w:tr>
      <w:tr>
        <w:tc>
          <w:tcPr/>
          <w:p>
            <w:pPr>
              <w:pStyle w:val="Compact"/>
              <w:spacing w:line="312" w:lineRule="auto"/>
            </w:pPr>
            <w:r>
              <w:rPr>
                <w:rFonts w:ascii="바탕" w:hAnsi="바탕" w:eastAsia="바탕" w:cs="바탕"/>
                <w:sz w:val="20"/>
              </w:rPr>
              <w:t xml:space="preserve">정서적 정화(Yalom &amp; Leszcz, 2020)</w:t>
            </w:r>
          </w:p>
        </w:tc>
        <w:tc>
          <w:tcPr/>
          <w:p>
            <w:pPr>
              <w:pStyle w:val="Compact"/>
              <w:spacing w:line="312" w:lineRule="auto"/>
            </w:pPr>
            <w:r>
              <w:rPr>
                <w:rFonts w:ascii="바탕" w:hAnsi="바탕" w:eastAsia="바탕" w:cs="바탕"/>
                <w:sz w:val="20"/>
              </w:rPr>
              <w:t xml:space="preserve">즉시·반복 정서 환기</w:t>
            </w:r>
          </w:p>
        </w:tc>
        <w:tc>
          <w:tcPr/>
          <w:p>
            <w:pPr>
              <w:pStyle w:val="Compact"/>
              <w:spacing w:line="312" w:lineRule="auto"/>
            </w:pPr>
            <w:r>
              <w:rPr>
                <w:rFonts w:ascii="바탕" w:hAnsi="바탕" w:eastAsia="바탕" w:cs="바탕"/>
                <w:sz w:val="20"/>
              </w:rPr>
              <w:t xml:space="preserve">정화 이후의 담아내기 부재</w:t>
            </w:r>
          </w:p>
        </w:tc>
      </w:tr>
      <w:tr>
        <w:tc>
          <w:tcPr/>
          <w:p>
            <w:pPr>
              <w:pStyle w:val="Compact"/>
              <w:spacing w:line="312" w:lineRule="auto"/>
            </w:pPr>
            <w:r>
              <w:rPr>
                <w:rFonts w:ascii="바탕" w:hAnsi="바탕" w:eastAsia="바탕" w:cs="바탕"/>
                <w:sz w:val="20"/>
              </w:rPr>
              <w:t xml:space="preserve">보편성(Yalom &amp; Leszcz, 2020)</w:t>
            </w:r>
          </w:p>
        </w:tc>
        <w:tc>
          <w:tcPr/>
          <w:p>
            <w:pPr>
              <w:pStyle w:val="Compact"/>
              <w:spacing w:line="312" w:lineRule="auto"/>
            </w:pPr>
            <w:r>
              <w:rPr>
                <w:rFonts w:ascii="바탕" w:hAnsi="바탕" w:eastAsia="바탕" w:cs="바탕"/>
                <w:sz w:val="20"/>
              </w:rPr>
              <w:t xml:space="preserve">맞춤 서사 제공</w:t>
            </w:r>
          </w:p>
        </w:tc>
        <w:tc>
          <w:tcPr/>
          <w:p>
            <w:pPr>
              <w:pStyle w:val="Compact"/>
              <w:spacing w:line="312" w:lineRule="auto"/>
            </w:pPr>
            <w:r>
              <w:rPr>
                <w:rFonts w:ascii="바탕" w:hAnsi="바탕" w:eastAsia="바탕" w:cs="바탕"/>
                <w:sz w:val="20"/>
              </w:rPr>
              <w:t xml:space="preserve">진정한 인간적 연결의 결여</w:t>
            </w:r>
          </w:p>
        </w:tc>
      </w:tr>
      <w:tr>
        <w:tc>
          <w:tcPr/>
          <w:p>
            <w:pPr>
              <w:pStyle w:val="Compact"/>
              <w:spacing w:line="312" w:lineRule="auto"/>
            </w:pPr>
            <w:r>
              <w:rPr>
                <w:rFonts w:ascii="바탕" w:hAnsi="바탕" w:eastAsia="바탕" w:cs="바탕"/>
                <w:sz w:val="20"/>
              </w:rPr>
              <w:t xml:space="preserve">관찰학습(Bandura, 1977)</w:t>
            </w:r>
          </w:p>
        </w:tc>
        <w:tc>
          <w:tcPr/>
          <w:p>
            <w:pPr>
              <w:pStyle w:val="Compact"/>
              <w:spacing w:line="312" w:lineRule="auto"/>
            </w:pPr>
            <w:r>
              <w:rPr>
                <w:rFonts w:ascii="바탕" w:hAnsi="바탕" w:eastAsia="바탕" w:cs="바탕"/>
                <w:sz w:val="20"/>
              </w:rPr>
              <w:t xml:space="preserve">맞춤 모델링 영상 생성</w:t>
            </w:r>
          </w:p>
        </w:tc>
        <w:tc>
          <w:tcPr/>
          <w:p>
            <w:pPr>
              <w:pStyle w:val="Compact"/>
              <w:spacing w:line="312" w:lineRule="auto"/>
            </w:pPr>
            <w:r>
              <w:rPr>
                <w:rFonts w:ascii="바탕" w:hAnsi="바탕" w:eastAsia="바탕" w:cs="바탕"/>
                <w:sz w:val="20"/>
              </w:rPr>
              <w:t xml:space="preserve">학습의 전이·강화 미보장</w:t>
            </w:r>
          </w:p>
        </w:tc>
      </w:tr>
      <w:tr>
        <w:tc>
          <w:tcPr/>
          <w:p>
            <w:pPr>
              <w:pStyle w:val="Compact"/>
              <w:spacing w:line="312" w:lineRule="auto"/>
            </w:pPr>
            <w:r>
              <w:rPr>
                <w:rFonts w:ascii="바탕" w:hAnsi="바탕" w:eastAsia="바탕" w:cs="바탕"/>
                <w:sz w:val="20"/>
              </w:rPr>
              <w:t xml:space="preserve">대화의 매개(Bordin, 1979)</w:t>
            </w:r>
          </w:p>
        </w:tc>
        <w:tc>
          <w:tcPr/>
          <w:p>
            <w:pPr>
              <w:pStyle w:val="Compact"/>
              <w:spacing w:line="312" w:lineRule="auto"/>
            </w:pPr>
            <w:r>
              <w:rPr>
                <w:rFonts w:ascii="바탕" w:hAnsi="바탕" w:eastAsia="바탕" w:cs="바탕"/>
                <w:sz w:val="20"/>
              </w:rPr>
              <w:t xml:space="preserve">콘텐츠 생성 보조</w:t>
            </w:r>
          </w:p>
        </w:tc>
        <w:tc>
          <w:tcPr/>
          <w:p>
            <w:pPr>
              <w:pStyle w:val="Compact"/>
              <w:spacing w:line="312" w:lineRule="auto"/>
            </w:pPr>
            <w:r>
              <w:rPr>
                <w:rFonts w:ascii="바탕" w:hAnsi="바탕" w:eastAsia="바탕" w:cs="바탕"/>
                <w:sz w:val="20"/>
              </w:rPr>
              <w:t xml:space="preserve">관계적 의미 처리 불가</w:t>
            </w:r>
          </w:p>
        </w:tc>
      </w:tr>
    </w:tbl>
    <w:p>
      <w:pPr>
        <w:pStyle w:val="BodyText"/>
        <w:spacing w:lineRule="auto" w:line="384"/>
        <w:jc w:val="both"/>
      </w:pPr>
      <w:r>
        <w:rPr>
          <w:rFonts w:ascii="바탕" w:hAnsi="바탕" w:eastAsia="바탕" w:cs="바탕"/>
          <w:sz w:val="21"/>
        </w:rPr>
        <w:t xml:space="preserve">이 분석틀은 다음 두 장(Ⅵ·Ⅶ)에서 가능성과 한계를 도출하는 준거가 된다.</w:t>
      </w:r>
    </w:p>
    <w:p>
      <w:pPr>
        <w:spacing w:lineRule="auto" w:line="384"/>
        <w:jc w:val="both"/>
      </w:pPr>
      <w:r>
        <w:rPr>
          <w:rFonts w:ascii="바탕" w:hAnsi="바탕" w:eastAsia="바탕" w:cs="바탕"/>
          <w:sz w:val="21"/>
        </w:rPr>
        <w:pict>
          <v:rect style="width:0;height:1.5pt" o:hralign="center" o:hrstd="t" o:hr="t"/>
        </w:pict>
      </w:r>
    </w:p>
    <w:bookmarkEnd w:id="28"/>
    <w:bookmarkStart w:id="33" w:name="X3c1a15718402c9dead0df9740de68923c37d27d"/>
    <w:p>
      <w:pPr>
        <w:pStyle w:val="Heading2"/>
        <w:spacing w:lineRule="auto" w:line="384" w:before="240" w:after="120"/>
        <w:jc w:val="left"/>
      </w:pPr>
      <w:r>
        <w:rPr>
          <w:rFonts w:ascii="돋움" w:hAnsi="돋움" w:eastAsia="돋움" w:cs="돋움"/>
          <w:b/>
        </w:rPr>
        <w:t xml:space="preserve">Ⅵ. 비교 고찰: 가능성</w:t>
      </w:r>
    </w:p>
    <w:bookmarkStart w:id="29" w:name="X12f3282816ccc3ae4fb3420895d013d5ca2869f"/>
    <w:p>
      <w:pPr>
        <w:pStyle w:val="Heading3"/>
        <w:spacing w:lineRule="auto" w:line="384" w:before="240" w:after="120"/>
        <w:jc w:val="left"/>
      </w:pPr>
      <w:r>
        <w:rPr>
          <w:rFonts w:ascii="돋움" w:hAnsi="돋움" w:eastAsia="돋움" w:cs="돋움"/>
          <w:b/>
        </w:rPr>
        <w:t xml:space="preserve">1. 접근성(accessibility)</w:t>
      </w:r>
    </w:p>
    <w:p>
      <w:pPr>
        <w:pStyle w:val="FirstParagraph"/>
        <w:spacing w:lineRule="auto" w:line="384"/>
        <w:jc w:val="both"/>
      </w:pPr>
      <w:r>
        <w:rPr>
          <w:rFonts w:ascii="바탕" w:hAnsi="바탕" w:eastAsia="바탕" w:cs="바탕"/>
          <w:sz w:val="21"/>
        </w:rPr>
        <w:t xml:space="preserve">시간·공간·비용의 제약 없이 누구나 이용할 수 있다. 전문 인력이 부족한 지역이나 대면 치료에 대한 심리적 장벽이 높은 사용자에게 1차적 정서 지원 통로가 될 수 있다. 이는 디지털 정신건강 개입이 공통적으로 지니는 강점으로, 저비용·확장성 측면에서 공중보건적 의의가 크다(Linardon et al., 2024).</w:t>
      </w:r>
    </w:p>
    <w:bookmarkEnd w:id="29"/>
    <w:bookmarkStart w:id="30" w:name="Xdb28a021512ed9eb10bdcb75471f97449b65732"/>
    <w:p>
      <w:pPr>
        <w:pStyle w:val="Heading3"/>
        <w:spacing w:lineRule="auto" w:line="384" w:before="240" w:after="120"/>
        <w:jc w:val="left"/>
      </w:pPr>
      <w:r>
        <w:rPr>
          <w:rFonts w:ascii="돋움" w:hAnsi="돋움" w:eastAsia="돋움" w:cs="돋움"/>
          <w:b/>
        </w:rPr>
        <w:t xml:space="preserve">2. 맞춤성(personalization)</w:t>
      </w:r>
    </w:p>
    <w:p>
      <w:pPr>
        <w:pStyle w:val="FirstParagraph"/>
        <w:spacing w:lineRule="auto" w:line="384"/>
        <w:jc w:val="both"/>
      </w:pPr>
      <w:r>
        <w:rPr>
          <w:rFonts w:ascii="바탕" w:hAnsi="바탕" w:eastAsia="바탕" w:cs="바탕"/>
          <w:sz w:val="21"/>
        </w:rPr>
        <w:t xml:space="preserve">기성 영상을 '처방'하던 방식과 달리, 개인의 정서·기억·선호에 부합하는 콘텐츠를 생성할 수 있다. 분석틀에 비추면, 이는 동일시·투사와 심상유도의 효과(Sacilotto et al., 2022)를 이론적으로 강화할 잠재력을 지닌다. 정확히 자신을 비추는 영상은 투사를 촉진하고 보편성 경험을 정교화할 수 있다.</w:t>
      </w:r>
    </w:p>
    <w:bookmarkEnd w:id="30"/>
    <w:bookmarkStart w:id="31" w:name="Xda975ee3d8e391614fa3a30c570fa0479fffee7"/>
    <w:p>
      <w:pPr>
        <w:pStyle w:val="Heading3"/>
        <w:spacing w:lineRule="auto" w:line="384" w:before="240" w:after="120"/>
        <w:jc w:val="left"/>
      </w:pPr>
      <w:r>
        <w:rPr>
          <w:rFonts w:ascii="돋움" w:hAnsi="돋움" w:eastAsia="돋움" w:cs="돋움"/>
          <w:b/>
        </w:rPr>
        <w:t xml:space="preserve">3. 즉시성과 반복성(immediacy &amp; repeatability)</w:t>
      </w:r>
    </w:p>
    <w:p>
      <w:pPr>
        <w:pStyle w:val="FirstParagraph"/>
        <w:spacing w:lineRule="auto" w:line="384"/>
        <w:jc w:val="both"/>
      </w:pPr>
      <w:r>
        <w:rPr>
          <w:rFonts w:ascii="바탕" w:hAnsi="바탕" w:eastAsia="바탕" w:cs="바탕"/>
          <w:sz w:val="21"/>
        </w:rPr>
        <w:t xml:space="preserve">필요한 순간에 즉시 콘텐츠를 제공하고, 사용자가 원하는 만큼 반복·조정할 수 있다. 정서적 위기나 불안이 고조되는 순간은 정규 치료 시간과 일치하지 않는 경우가 많은데, AI 영상치유는 그 즉각성의 공백을 메울 수 있다. 이는 정화와 정서 조절을 목적으로 한 자기조력(self-help)에 특히 유리하다.</w:t>
      </w:r>
    </w:p>
    <w:bookmarkEnd w:id="31"/>
    <w:bookmarkStart w:id="32" w:name="Xb92acad906ea0e7e97638e62fa0a2b9abc41014"/>
    <w:p>
      <w:pPr>
        <w:pStyle w:val="Heading3"/>
        <w:spacing w:lineRule="auto" w:line="384" w:before="240" w:after="120"/>
        <w:jc w:val="left"/>
      </w:pPr>
      <w:r>
        <w:rPr>
          <w:rFonts w:ascii="돋움" w:hAnsi="돋움" w:eastAsia="돋움" w:cs="돋움"/>
          <w:b/>
        </w:rPr>
        <w:t xml:space="preserve">4. 표현의 확장(creative augmentation)</w:t>
      </w:r>
    </w:p>
    <w:p>
      <w:pPr>
        <w:pStyle w:val="FirstParagraph"/>
        <w:spacing w:lineRule="auto" w:line="384"/>
        <w:jc w:val="both"/>
      </w:pPr>
      <w:r>
        <w:rPr>
          <w:rFonts w:ascii="바탕" w:hAnsi="바탕" w:eastAsia="바탕" w:cs="바탕"/>
          <w:sz w:val="21"/>
        </w:rPr>
        <w:t xml:space="preserve">언어로 표현하기 어려운 내면을 영상으로 외화(externalize)하도록 도와, 자기표현의 도구를 확장한다. 트라우마나 복합적 정서처럼 말로 옮기기 어려운 경험도 '내가 느끼는 것을 영상으로 만들어 본다'는 과정을 통해 다룰 수 있는 대상이 된다. 이는 비디오 자기표현치료가 수행하던 외재화 기능을 생성 기술로 확장하는 것으로 볼 수 있다.</w:t>
      </w:r>
    </w:p>
    <w:p>
      <w:pPr>
        <w:spacing w:lineRule="auto" w:line="384"/>
        <w:jc w:val="both"/>
      </w:pPr>
      <w:r>
        <w:rPr>
          <w:rFonts w:ascii="바탕" w:hAnsi="바탕" w:eastAsia="바탕" w:cs="바탕"/>
          <w:sz w:val="21"/>
        </w:rPr>
        <w:pict>
          <v:rect style="width:0;height:1.5pt" o:hralign="center" o:hrstd="t" o:hr="t"/>
        </w:pict>
      </w:r>
    </w:p>
    <w:bookmarkEnd w:id="32"/>
    <w:bookmarkEnd w:id="33"/>
    <w:bookmarkStart w:id="40" w:name="X3b8b3561fbebe972249300b59d95aa772bd5650"/>
    <w:p>
      <w:pPr>
        <w:pStyle w:val="Heading2"/>
        <w:spacing w:lineRule="auto" w:line="384" w:before="240" w:after="120"/>
        <w:jc w:val="left"/>
      </w:pPr>
      <w:r>
        <w:rPr>
          <w:rFonts w:ascii="돋움" w:hAnsi="돋움" w:eastAsia="돋움" w:cs="돋움"/>
          <w:b/>
        </w:rPr>
        <w:t xml:space="preserve">Ⅶ. 비교 고찰: 한계</w:t>
      </w:r>
    </w:p>
    <w:bookmarkStart w:id="34" w:name="Xa1e2603b15da41bfdb4b22cf585600a66c7cd01"/>
    <w:p>
      <w:pPr>
        <w:pStyle w:val="Heading3"/>
        <w:spacing w:lineRule="auto" w:line="384" w:before="240" w:after="120"/>
        <w:jc w:val="left"/>
      </w:pPr>
      <w:r>
        <w:rPr>
          <w:rFonts w:ascii="돋움" w:hAnsi="돋움" w:eastAsia="돋움" w:cs="돋움"/>
          <w:b/>
        </w:rPr>
        <w:t xml:space="preserve">1. 치료적 관계의 부재</w:t>
      </w:r>
    </w:p>
    <w:p>
      <w:pPr>
        <w:pStyle w:val="FirstParagraph"/>
        <w:spacing w:lineRule="auto" w:line="384"/>
        <w:jc w:val="both"/>
      </w:pPr>
      <w:r>
        <w:rPr>
          <w:rFonts w:ascii="바탕" w:hAnsi="바탕" w:eastAsia="바탕" w:cs="바탕"/>
          <w:sz w:val="21"/>
        </w:rPr>
        <w:t xml:space="preserve">가장 근본적인 한계이다. 영상치료의 효과는 치료적 동맹과 사후 대화 속에서 발현되는데(Bordin, 1979; Cuijpers et al., 2019; Flückiger et al., 2018), AI는 진정한 공감·신뢰·관계적 유대를 제공하지 못한다. 분석틀의 다섯 번째 기제, 즉 '대화의 매개'가 충족되지 못하는 것이다. AI는 영상을 생성할 수는 있어도, 그 영상의 의미를 내담자와 함께 처리하는 임상적 과정을 대체하기 어렵다. 국내 상담사들도 챗봇의 기능적 유용성은 인정하면서 관계적·정서적 깊이의 한계를 지적한 바 있다(장규현, 서영석, 2022).</w:t>
      </w:r>
    </w:p>
    <w:bookmarkEnd w:id="34"/>
    <w:bookmarkStart w:id="35" w:name="Xbade84c41c00b76537fff50c4219368d805ebce"/>
    <w:p>
      <w:pPr>
        <w:pStyle w:val="Heading3"/>
        <w:spacing w:lineRule="auto" w:line="384" w:before="240" w:after="120"/>
        <w:jc w:val="left"/>
      </w:pPr>
      <w:r>
        <w:rPr>
          <w:rFonts w:ascii="돋움" w:hAnsi="돋움" w:eastAsia="돋움" w:cs="돋움"/>
          <w:b/>
        </w:rPr>
        <w:t xml:space="preserve">2. 의미 처리의 피상화</w:t>
      </w:r>
    </w:p>
    <w:p>
      <w:pPr>
        <w:pStyle w:val="FirstParagraph"/>
        <w:spacing w:lineRule="auto" w:line="384"/>
        <w:jc w:val="both"/>
      </w:pPr>
      <w:r>
        <w:rPr>
          <w:rFonts w:ascii="바탕" w:hAnsi="바탕" w:eastAsia="바탕" w:cs="바탕"/>
          <w:sz w:val="21"/>
        </w:rPr>
        <w:t xml:space="preserve">영상치료에서 정화·보편성·동일시는 모두 사후의 의미 처리를 통해 치료적 변화로 전환된다(Yalom &amp; Leszcz, 2020). 그러나 AI 영상치유에서는 치료자가 담당하던 '해석'의 역할이 사용자 자신에게 이전되어, 정서적 환기가 통찰로 통합되지 못한 채 표면적 자극에 머물 위험이 있다. 즉, 정화가 일어나도 이를 담아내고 의미화하는 과정이 부재하면 일시적 위안에 그칠 수 있다.</w:t>
      </w:r>
    </w:p>
    <w:bookmarkEnd w:id="35"/>
    <w:bookmarkStart w:id="36" w:name="Xf9b0e62fcfc0ae552c875aaf2eb03e5bd11baf3"/>
    <w:p>
      <w:pPr>
        <w:pStyle w:val="Heading3"/>
        <w:spacing w:lineRule="auto" w:line="384" w:before="240" w:after="120"/>
        <w:jc w:val="left"/>
      </w:pPr>
      <w:r>
        <w:rPr>
          <w:rFonts w:ascii="돋움" w:hAnsi="돋움" w:eastAsia="돋움" w:cs="돋움"/>
          <w:b/>
        </w:rPr>
        <w:t xml:space="preserve">3. 근거 기반의 부족</w:t>
      </w:r>
    </w:p>
    <w:p>
      <w:pPr>
        <w:pStyle w:val="FirstParagraph"/>
        <w:spacing w:lineRule="auto" w:line="384"/>
        <w:jc w:val="both"/>
      </w:pPr>
      <w:r>
        <w:rPr>
          <w:rFonts w:ascii="바탕" w:hAnsi="바탕" w:eastAsia="바탕" w:cs="바탕"/>
          <w:sz w:val="21"/>
        </w:rPr>
        <w:t xml:space="preserve">AI 영상치유의 치료 효과를 검증한 통제된 실증연구는 매우 제한적이다. 생성형 AI의 치료적 적용은 유망한 결과를 보고하면서도 실제 현장 배치와 안전성 보증은 제한적이라는 평가가 지배적이며(Wang et al., 2025), 챗봇 기반 개입의 메타분석조차 효과크기의 이질성과 안전성 검증의 부족을 지적한다(Zhang et al., 2025). 기대와 마케팅이 근거를 앞서는 상황에 대한 경계가 필요하다.</w:t>
      </w:r>
    </w:p>
    <w:bookmarkEnd w:id="36"/>
    <w:bookmarkStart w:id="37" w:name="X80048571a38dd8d64897cfe12324dad31ac5150"/>
    <w:p>
      <w:pPr>
        <w:pStyle w:val="Heading3"/>
        <w:spacing w:lineRule="auto" w:line="384" w:before="240" w:after="120"/>
        <w:jc w:val="left"/>
      </w:pPr>
      <w:r>
        <w:rPr>
          <w:rFonts w:ascii="돋움" w:hAnsi="돋움" w:eastAsia="돋움" w:cs="돋움"/>
          <w:b/>
        </w:rPr>
        <w:t xml:space="preserve">4. 윤리적·법적 쟁점</w:t>
      </w:r>
    </w:p>
    <w:p>
      <w:pPr>
        <w:pStyle w:val="FirstParagraph"/>
        <w:spacing w:lineRule="auto" w:line="384"/>
        <w:jc w:val="both"/>
      </w:pPr>
      <w:r>
        <w:rPr>
          <w:rFonts w:ascii="바탕" w:hAnsi="바탕" w:eastAsia="바탕" w:cs="바탕"/>
          <w:sz w:val="21"/>
        </w:rPr>
        <w:t xml:space="preserve">개인의 정서·기억 데이터를 다루는 데 따른 프라이버시, 알고리즘 편향, 책임 소재의 불분명함이 핵심 쟁점이다. 보건의료 알고리즘이 사회적 약자에게 체계적으로 불리하게 작동할 수 있음은 이미 실증적으로 드러났으며(Obermeyer et al., 2019), WHO(2021)와 미국심리학회(American Psychological Association, 2025)는 자율성·프라이버시·책임성·형평성을 핵심 윤리 원칙으로 제시한다. 인간 치료자를 값싼 자동화로 대체하려는 경향은 이러한 윤리적 위험을 심화시킬 수 있다.</w:t>
      </w:r>
    </w:p>
    <w:bookmarkEnd w:id="37"/>
    <w:bookmarkStart w:id="38" w:name="X194e038b212ea142f65cc4390d9b29bab4e58af"/>
    <w:p>
      <w:pPr>
        <w:pStyle w:val="Heading3"/>
        <w:spacing w:lineRule="auto" w:line="384" w:before="240" w:after="120"/>
        <w:jc w:val="left"/>
      </w:pPr>
      <w:r>
        <w:rPr>
          <w:rFonts w:ascii="돋움" w:hAnsi="돋움" w:eastAsia="돋움" w:cs="돋움"/>
          <w:b/>
        </w:rPr>
        <w:t xml:space="preserve">5. 진정성과 깊이의 문제</w:t>
      </w:r>
    </w:p>
    <w:p>
      <w:pPr>
        <w:pStyle w:val="FirstParagraph"/>
        <w:spacing w:lineRule="auto" w:line="384"/>
        <w:jc w:val="both"/>
      </w:pPr>
      <w:r>
        <w:rPr>
          <w:rFonts w:ascii="바탕" w:hAnsi="바탕" w:eastAsia="바탕" w:cs="바탕"/>
          <w:sz w:val="21"/>
        </w:rPr>
        <w:t xml:space="preserve">AI가 생성한 심상이 표면적 위안에는 효과적일 수 있으나, 무의식·서사·상징을 깊이 다루는 치유 작업에는 한계가 있을 수 있다. 영화의 서사가 갖는 힘은 인간 창작자의 의도·맥락·문화적 상징이 응축된 데서 비롯되는데(Hesley &amp; Hesley, 2001), 통계적 패턴으로 생성된 영상이 이러한 상징적 깊이를 담보하는지는 불확실하다. 또한 사용자가 '나를 위해 즉시 만들어진 것'임을 인지하는 순간, 인간이 만든 작품을 마주할 때의 정서적 울림이나 의미 부여가 약화될 가능성도 있다. 즉, 맞춤성이 오히려 진정성을 훼손하는 역설이 발생할 수 있다.</w:t>
      </w:r>
    </w:p>
    <w:bookmarkEnd w:id="38"/>
    <w:bookmarkStart w:id="39" w:name="X20a1da7e3ae801e2eb1343639e00fb4791063d6"/>
    <w:p>
      <w:pPr>
        <w:pStyle w:val="Heading3"/>
        <w:spacing w:lineRule="auto" w:line="384" w:before="240" w:after="120"/>
        <w:jc w:val="left"/>
      </w:pPr>
      <w:r>
        <w:rPr>
          <w:rFonts w:ascii="돋움" w:hAnsi="돋움" w:eastAsia="돋움" w:cs="돋움"/>
          <w:b/>
        </w:rPr>
        <w:t xml:space="preserve">6. 종합 비교</w:t>
      </w:r>
    </w:p>
    <w:p>
      <w:pPr>
        <w:pStyle w:val="FirstParagraph"/>
        <w:spacing w:lineRule="auto" w:line="384"/>
        <w:jc w:val="both"/>
      </w:pPr>
      <w:r>
        <w:rPr>
          <w:rFonts w:ascii="바탕" w:hAnsi="바탕" w:eastAsia="바탕" w:cs="바탕"/>
          <w:sz w:val="21"/>
        </w:rPr>
        <w:t xml:space="preserve">이상의 가능성과 한계를 주요 기준별로 정리하면 〈표 2〉와 같다.</w:t>
      </w:r>
    </w:p>
    <w:p>
      <w:pPr>
        <w:pStyle w:val="BodyText"/>
        <w:spacing w:lineRule="auto" w:line="384"/>
        <w:jc w:val="both"/>
      </w:pPr>
      <w:r>
        <w:rPr>
          <w:rFonts w:ascii="바탕" w:hAnsi="바탕" w:eastAsia="바탕" w:cs="바탕"/>
          <w:b/>
          <w:bCs/>
          <w:sz w:val="21"/>
        </w:rPr>
        <w:t xml:space="preserve">〈표 2〉 기존 영상치료와 AI 영상치유의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12" w:lineRule="auto"/>
            </w:pPr>
            <w:r>
              <w:rPr>
                <w:rFonts w:ascii="바탕" w:hAnsi="바탕" w:eastAsia="바탕" w:cs="바탕"/>
                <w:sz w:val="20"/>
              </w:rPr>
              <w:t xml:space="preserve">기준</w:t>
            </w:r>
          </w:p>
        </w:tc>
        <w:tc>
          <w:tcPr/>
          <w:p>
            <w:pPr>
              <w:pStyle w:val="Compact"/>
              <w:spacing w:line="312" w:lineRule="auto"/>
            </w:pPr>
            <w:r>
              <w:rPr>
                <w:rFonts w:ascii="바탕" w:hAnsi="바탕" w:eastAsia="바탕" w:cs="바탕"/>
                <w:sz w:val="20"/>
              </w:rPr>
              <w:t xml:space="preserve">기존 영상치료</w:t>
            </w:r>
          </w:p>
        </w:tc>
        <w:tc>
          <w:tcPr/>
          <w:p>
            <w:pPr>
              <w:pStyle w:val="Compact"/>
              <w:spacing w:line="312" w:lineRule="auto"/>
            </w:pPr>
            <w:r>
              <w:rPr>
                <w:rFonts w:ascii="바탕" w:hAnsi="바탕" w:eastAsia="바탕" w:cs="바탕"/>
                <w:sz w:val="20"/>
              </w:rPr>
              <w:t xml:space="preserve">AI 영상치유</w:t>
            </w:r>
          </w:p>
        </w:tc>
      </w:tr>
      <w:tr>
        <w:tc>
          <w:tcPr/>
          <w:p>
            <w:pPr>
              <w:pStyle w:val="Compact"/>
              <w:spacing w:line="312" w:lineRule="auto"/>
            </w:pPr>
            <w:r>
              <w:rPr>
                <w:rFonts w:ascii="바탕" w:hAnsi="바탕" w:eastAsia="바탕" w:cs="바탕"/>
                <w:sz w:val="20"/>
              </w:rPr>
              <w:t xml:space="preserve">콘텐츠</w:t>
            </w:r>
          </w:p>
        </w:tc>
        <w:tc>
          <w:tcPr/>
          <w:p>
            <w:pPr>
              <w:pStyle w:val="Compact"/>
              <w:spacing w:line="312" w:lineRule="auto"/>
            </w:pPr>
            <w:r>
              <w:rPr>
                <w:rFonts w:ascii="바탕" w:hAnsi="바탕" w:eastAsia="바탕" w:cs="바탕"/>
                <w:sz w:val="20"/>
              </w:rPr>
              <w:t xml:space="preserve">기성·표준 영상 처방</w:t>
            </w:r>
          </w:p>
        </w:tc>
        <w:tc>
          <w:tcPr/>
          <w:p>
            <w:pPr>
              <w:pStyle w:val="Compact"/>
              <w:spacing w:line="312" w:lineRule="auto"/>
            </w:pPr>
            <w:r>
              <w:rPr>
                <w:rFonts w:ascii="바탕" w:hAnsi="바탕" w:eastAsia="바탕" w:cs="바탕"/>
                <w:sz w:val="20"/>
              </w:rPr>
              <w:t xml:space="preserve">개인 맞춤 영상 즉시 생성</w:t>
            </w:r>
          </w:p>
        </w:tc>
      </w:tr>
      <w:tr>
        <w:tc>
          <w:tcPr/>
          <w:p>
            <w:pPr>
              <w:pStyle w:val="Compact"/>
              <w:spacing w:line="312" w:lineRule="auto"/>
            </w:pPr>
            <w:r>
              <w:rPr>
                <w:rFonts w:ascii="바탕" w:hAnsi="바탕" w:eastAsia="바탕" w:cs="바탕"/>
                <w:sz w:val="20"/>
              </w:rPr>
              <w:t xml:space="preserve">접근성</w:t>
            </w:r>
          </w:p>
        </w:tc>
        <w:tc>
          <w:tcPr/>
          <w:p>
            <w:pPr>
              <w:pStyle w:val="Compact"/>
              <w:spacing w:line="312" w:lineRule="auto"/>
            </w:pPr>
            <w:r>
              <w:rPr>
                <w:rFonts w:ascii="바탕" w:hAnsi="바탕" w:eastAsia="바탕" w:cs="바탕"/>
                <w:sz w:val="20"/>
              </w:rPr>
              <w:t xml:space="preserve">치료자·시공간 제약</w:t>
            </w:r>
          </w:p>
        </w:tc>
        <w:tc>
          <w:tcPr/>
          <w:p>
            <w:pPr>
              <w:pStyle w:val="Compact"/>
              <w:spacing w:line="312" w:lineRule="auto"/>
            </w:pPr>
            <w:r>
              <w:rPr>
                <w:rFonts w:ascii="바탕" w:hAnsi="바탕" w:eastAsia="바탕" w:cs="바탕"/>
                <w:sz w:val="20"/>
              </w:rPr>
              <w:t xml:space="preserve">높음(언제·어디서나)</w:t>
            </w:r>
          </w:p>
        </w:tc>
      </w:tr>
      <w:tr>
        <w:tc>
          <w:tcPr/>
          <w:p>
            <w:pPr>
              <w:pStyle w:val="Compact"/>
              <w:spacing w:line="312" w:lineRule="auto"/>
            </w:pPr>
            <w:r>
              <w:rPr>
                <w:rFonts w:ascii="바탕" w:hAnsi="바탕" w:eastAsia="바탕" w:cs="바탕"/>
                <w:sz w:val="20"/>
              </w:rPr>
              <w:t xml:space="preserve">치료적 관계</w:t>
            </w:r>
          </w:p>
        </w:tc>
        <w:tc>
          <w:tcPr/>
          <w:p>
            <w:pPr>
              <w:pStyle w:val="Compact"/>
              <w:spacing w:line="312" w:lineRule="auto"/>
            </w:pPr>
            <w:r>
              <w:rPr>
                <w:rFonts w:ascii="바탕" w:hAnsi="바탕" w:eastAsia="바탕" w:cs="바탕"/>
                <w:sz w:val="20"/>
              </w:rPr>
              <w:t xml:space="preserve">핵심 기제로 작동</w:t>
            </w:r>
          </w:p>
        </w:tc>
        <w:tc>
          <w:tcPr/>
          <w:p>
            <w:pPr>
              <w:pStyle w:val="Compact"/>
              <w:spacing w:line="312" w:lineRule="auto"/>
            </w:pPr>
            <w:r>
              <w:rPr>
                <w:rFonts w:ascii="바탕" w:hAnsi="바탕" w:eastAsia="바탕" w:cs="바탕"/>
                <w:sz w:val="20"/>
              </w:rPr>
              <w:t xml:space="preserve">부재 또는 모사에 그침</w:t>
            </w:r>
          </w:p>
        </w:tc>
      </w:tr>
      <w:tr>
        <w:tc>
          <w:tcPr/>
          <w:p>
            <w:pPr>
              <w:pStyle w:val="Compact"/>
              <w:spacing w:line="312" w:lineRule="auto"/>
            </w:pPr>
            <w:r>
              <w:rPr>
                <w:rFonts w:ascii="바탕" w:hAnsi="바탕" w:eastAsia="바탕" w:cs="바탕"/>
                <w:sz w:val="20"/>
              </w:rPr>
              <w:t xml:space="preserve">의미 처리</w:t>
            </w:r>
          </w:p>
        </w:tc>
        <w:tc>
          <w:tcPr/>
          <w:p>
            <w:pPr>
              <w:pStyle w:val="Compact"/>
              <w:spacing w:line="312" w:lineRule="auto"/>
            </w:pPr>
            <w:r>
              <w:rPr>
                <w:rFonts w:ascii="바탕" w:hAnsi="바탕" w:eastAsia="바탕" w:cs="바탕"/>
                <w:sz w:val="20"/>
              </w:rPr>
              <w:t xml:space="preserve">치료자와의 대화로 심화</w:t>
            </w:r>
          </w:p>
        </w:tc>
        <w:tc>
          <w:tcPr/>
          <w:p>
            <w:pPr>
              <w:pStyle w:val="Compact"/>
              <w:spacing w:line="312" w:lineRule="auto"/>
            </w:pPr>
            <w:r>
              <w:rPr>
                <w:rFonts w:ascii="바탕" w:hAnsi="바탕" w:eastAsia="바탕" w:cs="바탕"/>
                <w:sz w:val="20"/>
              </w:rPr>
              <w:t xml:space="preserve">자동화·피상화 위험</w:t>
            </w:r>
          </w:p>
        </w:tc>
      </w:tr>
      <w:tr>
        <w:tc>
          <w:tcPr/>
          <w:p>
            <w:pPr>
              <w:pStyle w:val="Compact"/>
              <w:spacing w:line="312" w:lineRule="auto"/>
            </w:pPr>
            <w:r>
              <w:rPr>
                <w:rFonts w:ascii="바탕" w:hAnsi="바탕" w:eastAsia="바탕" w:cs="바탕"/>
                <w:sz w:val="20"/>
              </w:rPr>
              <w:t xml:space="preserve">근거</w:t>
            </w:r>
          </w:p>
        </w:tc>
        <w:tc>
          <w:tcPr/>
          <w:p>
            <w:pPr>
              <w:pStyle w:val="Compact"/>
              <w:spacing w:line="312" w:lineRule="auto"/>
            </w:pPr>
            <w:r>
              <w:rPr>
                <w:rFonts w:ascii="바탕" w:hAnsi="바탕" w:eastAsia="바탕" w:cs="바탕"/>
                <w:sz w:val="20"/>
              </w:rPr>
              <w:t xml:space="preserve">상대적으로 축적</w:t>
            </w:r>
          </w:p>
        </w:tc>
        <w:tc>
          <w:tcPr/>
          <w:p>
            <w:pPr>
              <w:pStyle w:val="Compact"/>
              <w:spacing w:line="312" w:lineRule="auto"/>
            </w:pPr>
            <w:r>
              <w:rPr>
                <w:rFonts w:ascii="바탕" w:hAnsi="바탕" w:eastAsia="바탕" w:cs="바탕"/>
                <w:sz w:val="20"/>
              </w:rPr>
              <w:t xml:space="preserve">매우 부족</w:t>
            </w:r>
          </w:p>
        </w:tc>
      </w:tr>
      <w:tr>
        <w:tc>
          <w:tcPr/>
          <w:p>
            <w:pPr>
              <w:pStyle w:val="Compact"/>
              <w:spacing w:line="312" w:lineRule="auto"/>
            </w:pPr>
            <w:r>
              <w:rPr>
                <w:rFonts w:ascii="바탕" w:hAnsi="바탕" w:eastAsia="바탕" w:cs="바탕"/>
                <w:sz w:val="20"/>
              </w:rPr>
              <w:t xml:space="preserve">윤리 위험</w:t>
            </w:r>
          </w:p>
        </w:tc>
        <w:tc>
          <w:tcPr/>
          <w:p>
            <w:pPr>
              <w:pStyle w:val="Compact"/>
              <w:spacing w:line="312" w:lineRule="auto"/>
            </w:pPr>
            <w:r>
              <w:rPr>
                <w:rFonts w:ascii="바탕" w:hAnsi="바탕" w:eastAsia="바탕" w:cs="바탕"/>
                <w:sz w:val="20"/>
              </w:rPr>
              <w:t xml:space="preserve">통상적 임상 윤리</w:t>
            </w:r>
          </w:p>
        </w:tc>
        <w:tc>
          <w:tcPr/>
          <w:p>
            <w:pPr>
              <w:pStyle w:val="Compact"/>
              <w:spacing w:line="312" w:lineRule="auto"/>
            </w:pPr>
            <w:r>
              <w:rPr>
                <w:rFonts w:ascii="바탕" w:hAnsi="바탕" w:eastAsia="바탕" w:cs="바탕"/>
                <w:sz w:val="20"/>
              </w:rPr>
              <w:t xml:space="preserve">데이터·편향·책임 쟁점 추가</w:t>
            </w:r>
          </w:p>
        </w:tc>
      </w:tr>
      <w:tr>
        <w:tc>
          <w:tcPr/>
          <w:p>
            <w:pPr>
              <w:pStyle w:val="Compact"/>
              <w:spacing w:line="312" w:lineRule="auto"/>
            </w:pPr>
            <w:r>
              <w:rPr>
                <w:rFonts w:ascii="바탕" w:hAnsi="바탕" w:eastAsia="바탕" w:cs="바탕"/>
                <w:sz w:val="20"/>
              </w:rPr>
              <w:t xml:space="preserve">진정성</w:t>
            </w:r>
          </w:p>
        </w:tc>
        <w:tc>
          <w:tcPr/>
          <w:p>
            <w:pPr>
              <w:pStyle w:val="Compact"/>
              <w:spacing w:line="312" w:lineRule="auto"/>
            </w:pPr>
            <w:r>
              <w:rPr>
                <w:rFonts w:ascii="바탕" w:hAnsi="바탕" w:eastAsia="바탕" w:cs="바탕"/>
                <w:sz w:val="20"/>
              </w:rPr>
              <w:t xml:space="preserve">인간 창작의 상징적 깊이</w:t>
            </w:r>
          </w:p>
        </w:tc>
        <w:tc>
          <w:tcPr/>
          <w:p>
            <w:pPr>
              <w:pStyle w:val="Compact"/>
              <w:spacing w:line="312" w:lineRule="auto"/>
            </w:pPr>
            <w:r>
              <w:rPr>
                <w:rFonts w:ascii="바탕" w:hAnsi="바탕" w:eastAsia="바탕" w:cs="바탕"/>
                <w:sz w:val="20"/>
              </w:rPr>
              <w:t xml:space="preserve">통계적 생성의 진정성 의문</w:t>
            </w:r>
          </w:p>
        </w:tc>
      </w:tr>
    </w:tbl>
    <w:p>
      <w:pPr>
        <w:spacing w:lineRule="auto" w:line="384"/>
        <w:jc w:val="both"/>
      </w:pPr>
      <w:r>
        <w:rPr>
          <w:rFonts w:ascii="바탕" w:hAnsi="바탕" w:eastAsia="바탕" w:cs="바탕"/>
          <w:sz w:val="21"/>
        </w:rPr>
        <w:pict>
          <v:rect style="width:0;height:1.5pt" o:hralign="center" o:hrstd="t" o:hr="t"/>
        </w:pict>
      </w:r>
    </w:p>
    <w:bookmarkEnd w:id="39"/>
    <w:bookmarkEnd w:id="40"/>
    <w:bookmarkStart w:id="44" w:name="X96bd0481ffbed2c2254d2a23776c62adc4fde16"/>
    <w:p>
      <w:pPr>
        <w:pStyle w:val="Heading2"/>
        <w:spacing w:lineRule="auto" w:line="384" w:before="240" w:after="120"/>
        <w:jc w:val="left"/>
      </w:pPr>
      <w:r>
        <w:rPr>
          <w:rFonts w:ascii="돋움" w:hAnsi="돋움" w:eastAsia="돋움" w:cs="돋움"/>
          <w:b/>
        </w:rPr>
        <w:t xml:space="preserve">Ⅷ. 논의</w:t>
      </w:r>
    </w:p>
    <w:bookmarkStart w:id="41" w:name="Xc1876b4821cd48346d4fafecee489b6847fc7c3"/>
    <w:p>
      <w:pPr>
        <w:pStyle w:val="Heading3"/>
        <w:spacing w:lineRule="auto" w:line="384" w:before="240" w:after="120"/>
        <w:jc w:val="left"/>
      </w:pPr>
      <w:r>
        <w:rPr>
          <w:rFonts w:ascii="돋움" w:hAnsi="돋움" w:eastAsia="돋움" w:cs="돋움"/>
          <w:b/>
        </w:rPr>
        <w:t xml:space="preserve">1. 통합 모델: 치료자 매개형 적용</w:t>
      </w:r>
    </w:p>
    <w:p>
      <w:pPr>
        <w:pStyle w:val="FirstParagraph"/>
        <w:spacing w:lineRule="auto" w:line="384"/>
        <w:jc w:val="both"/>
      </w:pPr>
      <w:r>
        <w:rPr>
          <w:rFonts w:ascii="바탕" w:hAnsi="바탕" w:eastAsia="바탕" w:cs="바탕"/>
          <w:sz w:val="21"/>
        </w:rPr>
        <w:t xml:space="preserve">비교 고찰의 결과는 AI 영상치유가 기존 영상치료를 대체하는 것이 아니라 보완하는 방향으로 자리매김할 때 가장 큰 가치를 가짐을 시사한다. 본 연구는 다음 통합 모델을 제안한다.</w:t>
      </w:r>
    </w:p>
    <w:p>
      <w:pPr>
        <w:pStyle w:val="Compact"/>
        <w:numPr>
          <w:ilvl w:val="0"/>
          <w:numId w:val="1004"/>
        </w:numPr>
        <w:spacing w:lineRule="auto" w:line="384"/>
        <w:jc w:val="both"/>
      </w:pPr>
      <w:r>
        <w:rPr>
          <w:rFonts w:ascii="바탕" w:hAnsi="바탕" w:eastAsia="바탕" w:cs="바탕"/>
          <w:b/>
          <w:bCs/>
          <w:sz w:val="21"/>
        </w:rPr>
        <w:t xml:space="preserve">치료자 매개형(therapist-mediated) 모델</w:t>
      </w:r>
      <w:r>
        <w:rPr>
          <w:rFonts w:ascii="바탕" w:hAnsi="바탕" w:eastAsia="바탕" w:cs="바탕"/>
          <w:sz w:val="21"/>
        </w:rPr>
        <w:t xml:space="preserve">: 치료자가 AI를 활용해 내담자 맞춤 영상을 신속히 제작하고, 그 해석과 정서 처리는 치료적 관계 안에서 수행한다. AI는 콘텐츠 생성 도구, 인간은 치유의 주체로 역할을 분담함으로써, Ⅶ장에서 지적한 '관계의 부재'와 '의미 처리의 피상화'를 구조적으로 보완한다.</w:t>
      </w:r>
    </w:p>
    <w:p>
      <w:pPr>
        <w:pStyle w:val="Compact"/>
        <w:numPr>
          <w:ilvl w:val="0"/>
          <w:numId w:val="1004"/>
        </w:numPr>
        <w:spacing w:lineRule="auto" w:line="384"/>
        <w:jc w:val="both"/>
      </w:pPr>
      <w:r>
        <w:rPr>
          <w:rFonts w:ascii="바탕" w:hAnsi="바탕" w:eastAsia="바탕" w:cs="바탕"/>
          <w:b/>
          <w:bCs/>
          <w:sz w:val="21"/>
        </w:rPr>
        <w:t xml:space="preserve">단계적 케어(stepped-care) 모델</w:t>
      </w:r>
      <w:r>
        <w:rPr>
          <w:rFonts w:ascii="바탕" w:hAnsi="바탕" w:eastAsia="바탕" w:cs="바탕"/>
          <w:sz w:val="21"/>
        </w:rPr>
        <w:t xml:space="preserve">: 경증·자기조력 단계에서는 AI 영상치유를 1차 접근 통로로 활용하고, 위험 신호가 감지되면 전문 인력으로 연계한다. 이는 접근성이라는 AI의 강점(Linardon et al., 2024)을 치료 체계 안에 안전하게 위치시킨다.</w:t>
      </w:r>
    </w:p>
    <w:p>
      <w:pPr>
        <w:pStyle w:val="Compact"/>
        <w:numPr>
          <w:ilvl w:val="0"/>
          <w:numId w:val="1004"/>
        </w:numPr>
        <w:spacing w:lineRule="auto" w:line="384"/>
        <w:jc w:val="both"/>
      </w:pPr>
      <w:r>
        <w:rPr>
          <w:rFonts w:ascii="바탕" w:hAnsi="바탕" w:eastAsia="바탕" w:cs="바탕"/>
          <w:b/>
          <w:bCs/>
          <w:sz w:val="21"/>
        </w:rPr>
        <w:t xml:space="preserve">윤리·안전 거버넌스 내장</w:t>
      </w:r>
      <w:r>
        <w:rPr>
          <w:rFonts w:ascii="바탕" w:hAnsi="바탕" w:eastAsia="바탕" w:cs="바탕"/>
          <w:sz w:val="21"/>
        </w:rPr>
        <w:t xml:space="preserve">: 데이터 보호, 편향 점검, 위기 대응, 책임 구조를 시스템에 필수 요소로 내장한다(World Health Organization, 2021; American Psychological Association, 2025).</w:t>
      </w:r>
    </w:p>
    <w:bookmarkEnd w:id="41"/>
    <w:bookmarkStart w:id="42" w:name="X0e3dc26c8fdba744ca23d9f8716fcc1866f0b57"/>
    <w:p>
      <w:pPr>
        <w:pStyle w:val="Heading3"/>
        <w:spacing w:lineRule="auto" w:line="384" w:before="240" w:after="120"/>
        <w:jc w:val="left"/>
      </w:pPr>
      <w:r>
        <w:rPr>
          <w:rFonts w:ascii="돋움" w:hAnsi="돋움" w:eastAsia="돋움" w:cs="돋움"/>
          <w:b/>
        </w:rPr>
        <w:t xml:space="preserve">2. 이론적 함의</w:t>
      </w:r>
    </w:p>
    <w:p>
      <w:pPr>
        <w:pStyle w:val="FirstParagraph"/>
        <w:spacing w:lineRule="auto" w:line="384"/>
        <w:jc w:val="both"/>
      </w:pPr>
      <w:r>
        <w:rPr>
          <w:rFonts w:ascii="바탕" w:hAnsi="바탕" w:eastAsia="바탕" w:cs="바탕"/>
          <w:sz w:val="21"/>
        </w:rPr>
        <w:t xml:space="preserve">본 연구는 산재한 영상치료 기제를 신생 기술 평가를 위한 통합 분석틀로 재구성하였다. 이 틀은 AI 영상치유뿐 아니라 향후 등장할 디지털 영상 개입을 평가하는 데 확장 적용될 수 있으며, '기술이 무엇을 할 수 있는가'가 아니라 '치료 기제가 무엇을 요구하는가'에서 출발하는 관점을 제시한다.</w:t>
      </w:r>
    </w:p>
    <w:bookmarkEnd w:id="42"/>
    <w:bookmarkStart w:id="43" w:name="X8de7f07035c42aa4e18ef270dc640a4956132fc"/>
    <w:p>
      <w:pPr>
        <w:pStyle w:val="Heading3"/>
        <w:spacing w:lineRule="auto" w:line="384" w:before="240" w:after="120"/>
        <w:jc w:val="left"/>
      </w:pPr>
      <w:r>
        <w:rPr>
          <w:rFonts w:ascii="돋움" w:hAnsi="돋움" w:eastAsia="돋움" w:cs="돋움"/>
          <w:b/>
        </w:rPr>
        <w:t xml:space="preserve">3. 임상적·정책적 함의</w:t>
      </w:r>
    </w:p>
    <w:p>
      <w:pPr>
        <w:pStyle w:val="FirstParagraph"/>
        <w:spacing w:lineRule="auto" w:line="384"/>
        <w:jc w:val="both"/>
      </w:pPr>
      <w:r>
        <w:rPr>
          <w:rFonts w:ascii="바탕" w:hAnsi="바탕" w:eastAsia="바탕" w:cs="바탕"/>
          <w:sz w:val="21"/>
        </w:rPr>
        <w:t xml:space="preserve">임상적으로 AI 영상치유는 치료자를 대체하는 자율적 치료가 아니라 임상가의 통제 아래 콘텐츠 생성을 보조하는 도구로 위치 지어져야 한다. 정책적으로는 효과성·안전성 검증, 데이터 보호, '치료'를 표방하는 검증되지 않은 서비스에 대한 규율이 요구된다.</w:t>
      </w:r>
    </w:p>
    <w:p>
      <w:pPr>
        <w:spacing w:lineRule="auto" w:line="384"/>
        <w:jc w:val="both"/>
      </w:pPr>
      <w:r>
        <w:rPr>
          <w:rFonts w:ascii="바탕" w:hAnsi="바탕" w:eastAsia="바탕" w:cs="바탕"/>
          <w:sz w:val="21"/>
        </w:rPr>
        <w:pict>
          <v:rect style="width:0;height:1.5pt" o:hralign="center" o:hrstd="t" o:hr="t"/>
        </w:pict>
      </w:r>
    </w:p>
    <w:bookmarkEnd w:id="43"/>
    <w:bookmarkEnd w:id="44"/>
    <w:bookmarkStart w:id="45" w:name="Xa6d8be528b637a5749bbdc3789e84a7da57deeb"/>
    <w:p>
      <w:pPr>
        <w:pStyle w:val="Heading2"/>
        <w:spacing w:lineRule="auto" w:line="384" w:before="240" w:after="120"/>
        <w:jc w:val="left"/>
      </w:pPr>
      <w:r>
        <w:rPr>
          <w:rFonts w:ascii="돋움" w:hAnsi="돋움" w:eastAsia="돋움" w:cs="돋움"/>
          <w:b/>
        </w:rPr>
        <w:t xml:space="preserve">Ⅸ. 결론 및 제언</w:t>
      </w:r>
    </w:p>
    <w:p>
      <w:pPr>
        <w:pStyle w:val="FirstParagraph"/>
        <w:spacing w:lineRule="auto" w:line="384"/>
        <w:jc w:val="both"/>
      </w:pPr>
      <w:r>
        <w:rPr>
          <w:rFonts w:ascii="바탕" w:hAnsi="바탕" w:eastAsia="바탕" w:cs="바탕"/>
          <w:sz w:val="21"/>
        </w:rPr>
        <w:t xml:space="preserve">본 연구는 영상치료의 치료 기제에 정박한 통합 분석틀을 구성하고, 이를 적용하여 AI 영상치유의 가능성과 한계를 비교·고찰하였다. AI 영상치유는 접근성·맞춤성·즉시성·표현 확장이라는 가능성을 지니나, 치료적 관계의 부재, 의미 처리의 피상화, 근거 부족, 윤리적 위험, 진정성의 문제라는 본질적 한계를 안고 있다. 따라서 AI 영상치유는 인간 치료자를 대체하는 자율적 치유 수단이 아니라, 치료자가 매개하는 보조 도구로 통합될 때 그 잠재력이 책임 있게 실현될 수 있다.</w:t>
      </w:r>
    </w:p>
    <w:p>
      <w:pPr>
        <w:pStyle w:val="BodyText"/>
        <w:spacing w:lineRule="auto" w:line="384"/>
        <w:jc w:val="both"/>
      </w:pPr>
      <w:r>
        <w:rPr>
          <w:rFonts w:ascii="바탕" w:hAnsi="바탕" w:eastAsia="바탕" w:cs="바탕"/>
          <w:sz w:val="21"/>
        </w:rPr>
        <w:t xml:space="preserve">본 연구는 이론적 고찰에 머문다는 점, 빠르게 변화하는 기술의 특정 시점을 다룬다는 점에서 한계를 지닌다. 후속 연구를 위한 제언은 다음과 같다. 첫째, 통제된 설계로 AI 영상치유의 효과성과 부작용을 검증하는 실증연구가 필요하다. 둘째, 데이터 보호·위기 대응·편향 점검에 관한 윤리·안전 가이드라인의 수립이 요구된다. 셋째, 치료자-AI 협업의 구체적 임상 절차를 개발·검증하는 연구가 필요하다.</w:t>
      </w:r>
    </w:p>
    <w:p>
      <w:pPr>
        <w:pStyle w:val="BodyText"/>
        <w:spacing w:lineRule="auto" w:line="384"/>
        <w:jc w:val="both"/>
      </w:pPr>
      <w:r>
        <w:rPr>
          <w:rFonts w:ascii="바탕" w:hAnsi="바탕" w:eastAsia="바탕" w:cs="바탕"/>
          <w:sz w:val="21"/>
        </w:rPr>
        <w:t xml:space="preserve">본 연구는 빠르게 확산되는 디지털 치유 기술을 검증된 치료 이론의 관점에서 비판적으로 성찰할 이론적 토대와 분석틀을 제공했다는 데 의의가 있다.</w:t>
      </w:r>
    </w:p>
    <w:p>
      <w:pPr>
        <w:spacing w:lineRule="auto" w:line="384"/>
        <w:jc w:val="both"/>
      </w:pPr>
      <w:r>
        <w:rPr>
          <w:rFonts w:ascii="바탕" w:hAnsi="바탕" w:eastAsia="바탕" w:cs="바탕"/>
          <w:sz w:val="21"/>
        </w:rPr>
        <w:pict>
          <v:rect style="width:0;height:1.5pt" o:hralign="center" o:hrstd="t" o:hr="t"/>
        </w:pict>
      </w:r>
    </w:p>
    <w:bookmarkEnd w:id="45"/>
    <w:bookmarkStart w:id="66" w:name="참고문헌-references"/>
    <w:p>
      <w:pPr>
        <w:pStyle w:val="Heading2"/>
        <w:spacing w:lineRule="auto" w:line="384" w:before="240" w:after="120"/>
        <w:jc w:val="left"/>
      </w:pPr>
      <w:r>
        <w:rPr>
          <w:rFonts w:ascii="돋움" w:hAnsi="돋움" w:eastAsia="돋움" w:cs="돋움"/>
          <w:b/>
        </w:rPr>
        <w:t xml:space="preserve">참고문헌 (References)</w:t>
      </w:r>
    </w:p>
    <w:p>
      <w:pPr>
        <w:pStyle w:val="BlockText"/>
        <w:spacing w:lineRule="auto" w:line="384"/>
        <w:jc w:val="both"/>
      </w:pPr>
      <w:r>
        <w:rPr>
          <w:rFonts w:ascii="바탕" w:hAnsi="바탕" w:eastAsia="바탕" w:cs="바탕"/>
          <w:i/>
          <w:iCs/>
          <w:sz w:val="21"/>
        </w:rPr>
        <w:t xml:space="preserve">APA 7판 형식. 국내 문헌은 가나다순, 국외 문헌은 알파벳순으로 정렬하였다. 실제 제출 시 둘째 줄 들여쓰기(hanging indent)를 적용할 것.</w:t>
      </w:r>
    </w:p>
    <w:bookmarkStart w:id="50" w:name="국내-문헌"/>
    <w:p>
      <w:pPr>
        <w:pStyle w:val="Heading3"/>
        <w:spacing w:lineRule="auto" w:line="384" w:before="240" w:after="120"/>
        <w:jc w:val="left"/>
      </w:pPr>
      <w:r>
        <w:rPr>
          <w:rFonts w:ascii="돋움" w:hAnsi="돋움" w:eastAsia="돋움" w:cs="돋움"/>
          <w:b/>
        </w:rPr>
        <w:t xml:space="preserve">국내 문헌</w:t>
      </w:r>
    </w:p>
    <w:p>
      <w:pPr>
        <w:pStyle w:val="FirstParagraph"/>
        <w:spacing w:lineRule="auto" w:line="384" w:after="120"/>
        <w:ind w:left="720" w:hanging="720"/>
        <w:jc w:val="left"/>
      </w:pPr>
      <w:r>
        <w:rPr>
          <w:rFonts w:ascii="바탕" w:hAnsi="바탕" w:eastAsia="바탕" w:cs="바탕"/>
          <w:sz w:val="21"/>
        </w:rPr>
        <w:t xml:space="preserve">강은주, 천성문 (2011). 집단영화치료프로그램이 위기청소년의 정서조절력과 문제행동에 미치는 효과 연구.</w:t>
      </w:r>
      <w:r>
        <w:rPr>
          <w:rFonts w:ascii="바탕" w:hAnsi="바탕" w:eastAsia="바탕" w:cs="바탕"/>
          <w:sz w:val="21"/>
        </w:rPr>
        <w:t xml:space="preserve"> </w:t>
      </w:r>
      <w:r>
        <w:rPr>
          <w:rFonts w:ascii="바탕" w:hAnsi="바탕" w:eastAsia="바탕" w:cs="바탕"/>
          <w:i/>
          <w:iCs/>
          <w:sz w:val="21"/>
        </w:rPr>
        <w:t xml:space="preserve">청소년상담연구, 19</w:t>
      </w:r>
      <w:r>
        <w:rPr>
          <w:rFonts w:ascii="바탕" w:hAnsi="바탕" w:eastAsia="바탕" w:cs="바탕"/>
          <w:sz w:val="21"/>
        </w:rPr>
        <w:t xml:space="preserve">(2), 23–46.</w:t>
      </w:r>
      <w:r>
        <w:rPr>
          <w:rFonts w:ascii="바탕" w:hAnsi="바탕" w:eastAsia="바탕" w:cs="바탕"/>
          <w:sz w:val="21"/>
        </w:rPr>
        <w:t xml:space="preserve"> </w:t>
      </w:r>
      <w:hyperlink r:id="rId46">
        <w:r>
          <w:rPr>
            <w:rStyle w:val="Hyperlink"/>
          </w:rPr>
          <w:t xml:space="preserve">https://doi.org/10.35151/kyci.2011.19.2.002</w:t>
        </w:r>
      </w:hyperlink>
    </w:p>
    <w:p>
      <w:pPr>
        <w:pStyle w:val="BodyText"/>
        <w:spacing w:lineRule="auto" w:line="384" w:after="120"/>
        <w:ind w:left="720" w:hanging="720"/>
        <w:jc w:val="left"/>
      </w:pPr>
      <w:r>
        <w:rPr>
          <w:rFonts w:ascii="바탕" w:hAnsi="바탕" w:eastAsia="바탕" w:cs="바탕"/>
          <w:sz w:val="21"/>
        </w:rPr>
        <w:t xml:space="preserve">신경아 (2018). 우울증 중년여성을 위한 영화치료 프로그램의 효과.</w:t>
      </w:r>
      <w:r>
        <w:rPr>
          <w:rFonts w:ascii="바탕" w:hAnsi="바탕" w:eastAsia="바탕" w:cs="바탕"/>
          <w:sz w:val="21"/>
        </w:rPr>
        <w:t xml:space="preserve"> </w:t>
      </w:r>
      <w:r>
        <w:rPr>
          <w:rFonts w:ascii="바탕" w:hAnsi="바탕" w:eastAsia="바탕" w:cs="바탕"/>
          <w:i/>
          <w:iCs/>
          <w:sz w:val="21"/>
        </w:rPr>
        <w:t xml:space="preserve">디지털융복합연구, 16</w:t>
      </w:r>
      <w:r>
        <w:rPr>
          <w:rFonts w:ascii="바탕" w:hAnsi="바탕" w:eastAsia="바탕" w:cs="바탕"/>
          <w:sz w:val="21"/>
        </w:rPr>
        <w:t xml:space="preserve">(10), 511–522.</w:t>
      </w:r>
      <w:r>
        <w:rPr>
          <w:rFonts w:ascii="바탕" w:hAnsi="바탕" w:eastAsia="바탕" w:cs="바탕"/>
          <w:sz w:val="21"/>
        </w:rPr>
        <w:t xml:space="preserve"> </w:t>
      </w:r>
      <w:hyperlink r:id="rId47">
        <w:r>
          <w:rPr>
            <w:rStyle w:val="Hyperlink"/>
          </w:rPr>
          <w:t xml:space="preserve">https://doi.org/10.14400/JDC.2018.16.10.511</w:t>
        </w:r>
      </w:hyperlink>
    </w:p>
    <w:p>
      <w:pPr>
        <w:pStyle w:val="BodyText"/>
        <w:spacing w:lineRule="auto" w:line="384" w:after="120"/>
        <w:ind w:left="720" w:hanging="720"/>
        <w:jc w:val="left"/>
      </w:pPr>
      <w:r>
        <w:rPr>
          <w:rFonts w:ascii="바탕" w:hAnsi="바탕" w:eastAsia="바탕" w:cs="바탕"/>
          <w:sz w:val="21"/>
        </w:rPr>
        <w:t xml:space="preserve">여수진, 손승희 (2025). AI 기반 심리상담 연구의 국내 동향 분석: 주제범위 문헌고찰을 중심으로.</w:t>
      </w:r>
      <w:r>
        <w:rPr>
          <w:rFonts w:ascii="바탕" w:hAnsi="바탕" w:eastAsia="바탕" w:cs="바탕"/>
          <w:sz w:val="21"/>
        </w:rPr>
        <w:t xml:space="preserve"> </w:t>
      </w:r>
      <w:r>
        <w:rPr>
          <w:rFonts w:ascii="바탕" w:hAnsi="바탕" w:eastAsia="바탕" w:cs="바탕"/>
          <w:i/>
          <w:iCs/>
          <w:sz w:val="21"/>
        </w:rPr>
        <w:t xml:space="preserve">상담심리교육복지, 12</w:t>
      </w:r>
      <w:r>
        <w:rPr>
          <w:rFonts w:ascii="바탕" w:hAnsi="바탕" w:eastAsia="바탕" w:cs="바탕"/>
          <w:sz w:val="21"/>
        </w:rPr>
        <w:t xml:space="preserve">(5), 11–27.</w:t>
      </w:r>
      <w:r>
        <w:rPr>
          <w:rFonts w:ascii="바탕" w:hAnsi="바탕" w:eastAsia="바탕" w:cs="바탕"/>
          <w:sz w:val="21"/>
        </w:rPr>
        <w:t xml:space="preserve"> </w:t>
      </w:r>
      <w:hyperlink r:id="rId48">
        <w:r>
          <w:rPr>
            <w:rStyle w:val="Hyperlink"/>
          </w:rPr>
          <w:t xml:space="preserve">https://doi.org/10.20496/cpew.2025.12.5.11</w:t>
        </w:r>
      </w:hyperlink>
    </w:p>
    <w:p>
      <w:pPr>
        <w:pStyle w:val="BodyText"/>
        <w:spacing w:lineRule="auto" w:line="384" w:after="120"/>
        <w:ind w:left="720" w:hanging="720"/>
        <w:jc w:val="left"/>
      </w:pPr>
      <w:r>
        <w:rPr>
          <w:rFonts w:ascii="바탕" w:hAnsi="바탕" w:eastAsia="바탕" w:cs="바탕"/>
          <w:sz w:val="21"/>
        </w:rPr>
        <w:t xml:space="preserve">장규현, 서영석 (2022). 심리상담 챗봇에 대한 상담사들의 인식.</w:t>
      </w:r>
      <w:r>
        <w:rPr>
          <w:rFonts w:ascii="바탕" w:hAnsi="바탕" w:eastAsia="바탕" w:cs="바탕"/>
          <w:sz w:val="21"/>
        </w:rPr>
        <w:t xml:space="preserve"> </w:t>
      </w:r>
      <w:r>
        <w:rPr>
          <w:rFonts w:ascii="바탕" w:hAnsi="바탕" w:eastAsia="바탕" w:cs="바탕"/>
          <w:i/>
          <w:iCs/>
          <w:sz w:val="21"/>
        </w:rPr>
        <w:t xml:space="preserve">상담학연구, 23</w:t>
      </w:r>
      <w:r>
        <w:rPr>
          <w:rFonts w:ascii="바탕" w:hAnsi="바탕" w:eastAsia="바탕" w:cs="바탕"/>
          <w:sz w:val="21"/>
        </w:rPr>
        <w:t xml:space="preserve">(6), 17–48.</w:t>
      </w:r>
      <w:r>
        <w:rPr>
          <w:rFonts w:ascii="바탕" w:hAnsi="바탕" w:eastAsia="바탕" w:cs="바탕"/>
          <w:sz w:val="21"/>
        </w:rPr>
        <w:t xml:space="preserve"> </w:t>
      </w:r>
      <w:hyperlink r:id="rId49">
        <w:r>
          <w:rPr>
            <w:rStyle w:val="Hyperlink"/>
          </w:rPr>
          <w:t xml:space="preserve">https://doi.org/10.15703/kjc.23.6.202212.17</w:t>
        </w:r>
      </w:hyperlink>
    </w:p>
    <w:bookmarkEnd w:id="50"/>
    <w:bookmarkStart w:id="65" w:name="국외-문헌"/>
    <w:p>
      <w:pPr>
        <w:pStyle w:val="Heading3"/>
        <w:spacing w:lineRule="auto" w:line="384" w:before="240" w:after="120"/>
        <w:jc w:val="left"/>
      </w:pPr>
      <w:r>
        <w:rPr>
          <w:rFonts w:ascii="돋움" w:hAnsi="돋움" w:eastAsia="돋움" w:cs="돋움"/>
          <w:b/>
        </w:rPr>
        <w:t xml:space="preserve">국외 문헌</w:t>
      </w:r>
    </w:p>
    <w:p>
      <w:pPr>
        <w:pStyle w:val="FirstParagraph"/>
        <w:spacing w:lineRule="auto" w:line="384" w:after="120"/>
        <w:ind w:left="720" w:hanging="720"/>
        <w:jc w:val="left"/>
      </w:pPr>
      <w:r>
        <w:rPr>
          <w:rFonts w:ascii="바탕" w:hAnsi="바탕" w:eastAsia="바탕" w:cs="바탕"/>
          <w:sz w:val="21"/>
        </w:rPr>
        <w:t xml:space="preserve">American Psychological Association. (2025).</w:t>
      </w:r>
      <w:r>
        <w:rPr>
          <w:rFonts w:ascii="바탕" w:hAnsi="바탕" w:eastAsia="바탕" w:cs="바탕"/>
          <w:sz w:val="21"/>
        </w:rPr>
        <w:t xml:space="preserve"> </w:t>
      </w:r>
      <w:r>
        <w:rPr>
          <w:rFonts w:ascii="바탕" w:hAnsi="바탕" w:eastAsia="바탕" w:cs="바탕"/>
          <w:i/>
          <w:iCs/>
          <w:sz w:val="21"/>
        </w:rPr>
        <w:t xml:space="preserve">Balancing promise and risk: Ethical considerations for GenAI in mental health care.</w:t>
      </w:r>
      <w:r>
        <w:rPr>
          <w:rFonts w:ascii="바탕" w:hAnsi="바탕" w:eastAsia="바탕" w:cs="바탕"/>
          <w:sz w:val="21"/>
        </w:rPr>
        <w:t xml:space="preserve"> </w:t>
      </w:r>
      <w:r>
        <w:rPr>
          <w:rFonts w:ascii="바탕" w:hAnsi="바탕" w:eastAsia="바탕" w:cs="바탕"/>
          <w:sz w:val="21"/>
        </w:rPr>
        <w:t xml:space="preserve">APA Services.</w:t>
      </w:r>
      <w:r>
        <w:rPr>
          <w:rFonts w:ascii="바탕" w:hAnsi="바탕" w:eastAsia="바탕" w:cs="바탕"/>
          <w:sz w:val="21"/>
        </w:rPr>
        <w:t xml:space="preserve"> </w:t>
      </w:r>
      <w:hyperlink r:id="rId51">
        <w:r>
          <w:rPr>
            <w:rStyle w:val="Hyperlink"/>
          </w:rPr>
          <w:t xml:space="preserve">https://www.apaservices.org/practice/ce/expert/ethical-genai-mental-health-care</w:t>
        </w:r>
      </w:hyperlink>
    </w:p>
    <w:p>
      <w:pPr>
        <w:pStyle w:val="BodyText"/>
        <w:spacing w:lineRule="auto" w:line="384" w:after="120"/>
        <w:ind w:left="720" w:hanging="720"/>
        <w:jc w:val="left"/>
      </w:pPr>
      <w:r>
        <w:rPr>
          <w:rFonts w:ascii="바탕" w:hAnsi="바탕" w:eastAsia="바탕" w:cs="바탕"/>
          <w:sz w:val="21"/>
        </w:rPr>
        <w:t xml:space="preserve">Bandura, A. (1977).</w:t>
      </w:r>
      <w:r>
        <w:rPr>
          <w:rFonts w:ascii="바탕" w:hAnsi="바탕" w:eastAsia="바탕" w:cs="바탕"/>
          <w:sz w:val="21"/>
        </w:rPr>
        <w:t xml:space="preserve"> </w:t>
      </w:r>
      <w:r>
        <w:rPr>
          <w:rFonts w:ascii="바탕" w:hAnsi="바탕" w:eastAsia="바탕" w:cs="바탕"/>
          <w:i/>
          <w:iCs/>
          <w:sz w:val="21"/>
        </w:rPr>
        <w:t xml:space="preserve">Social learning theory.</w:t>
      </w:r>
      <w:r>
        <w:rPr>
          <w:rFonts w:ascii="바탕" w:hAnsi="바탕" w:eastAsia="바탕" w:cs="바탕"/>
          <w:sz w:val="21"/>
        </w:rPr>
        <w:t xml:space="preserve"> </w:t>
      </w:r>
      <w:r>
        <w:rPr>
          <w:rFonts w:ascii="바탕" w:hAnsi="바탕" w:eastAsia="바탕" w:cs="바탕"/>
          <w:sz w:val="21"/>
        </w:rPr>
        <w:t xml:space="preserve">Prentice-Hall.</w:t>
      </w:r>
    </w:p>
    <w:p>
      <w:pPr>
        <w:pStyle w:val="BodyText"/>
        <w:spacing w:lineRule="auto" w:line="384" w:after="120"/>
        <w:ind w:left="720" w:hanging="720"/>
        <w:jc w:val="left"/>
      </w:pPr>
      <w:r>
        <w:rPr>
          <w:rFonts w:ascii="바탕" w:hAnsi="바탕" w:eastAsia="바탕" w:cs="바탕"/>
          <w:sz w:val="21"/>
        </w:rPr>
        <w:t xml:space="preserve">Bordin, E. S. (1979). The generalizability of the psychoanalytic concept of the working alliance.</w:t>
      </w:r>
      <w:r>
        <w:rPr>
          <w:rFonts w:ascii="바탕" w:hAnsi="바탕" w:eastAsia="바탕" w:cs="바탕"/>
          <w:sz w:val="21"/>
        </w:rPr>
        <w:t xml:space="preserve"> </w:t>
      </w:r>
      <w:r>
        <w:rPr>
          <w:rFonts w:ascii="바탕" w:hAnsi="바탕" w:eastAsia="바탕" w:cs="바탕"/>
          <w:i/>
          <w:iCs/>
          <w:sz w:val="21"/>
        </w:rPr>
        <w:t xml:space="preserve">Psychotherapy: Theory, Research &amp; Practice, 16</w:t>
      </w:r>
      <w:r>
        <w:rPr>
          <w:rFonts w:ascii="바탕" w:hAnsi="바탕" w:eastAsia="바탕" w:cs="바탕"/>
          <w:sz w:val="21"/>
        </w:rPr>
        <w:t xml:space="preserve">(3), 252–260.</w:t>
      </w:r>
      <w:r>
        <w:rPr>
          <w:rFonts w:ascii="바탕" w:hAnsi="바탕" w:eastAsia="바탕" w:cs="바탕"/>
          <w:sz w:val="21"/>
        </w:rPr>
        <w:t xml:space="preserve"> </w:t>
      </w:r>
      <w:hyperlink r:id="rId52">
        <w:r>
          <w:rPr>
            <w:rStyle w:val="Hyperlink"/>
          </w:rPr>
          <w:t xml:space="preserve">https://doi.org/10.1037/h0085885</w:t>
        </w:r>
      </w:hyperlink>
    </w:p>
    <w:p>
      <w:pPr>
        <w:pStyle w:val="BodyText"/>
        <w:spacing w:lineRule="auto" w:line="384" w:after="120"/>
        <w:ind w:left="720" w:hanging="720"/>
        <w:jc w:val="left"/>
      </w:pPr>
      <w:r>
        <w:rPr>
          <w:rFonts w:ascii="바탕" w:hAnsi="바탕" w:eastAsia="바탕" w:cs="바탕"/>
          <w:sz w:val="21"/>
        </w:rPr>
        <w:t xml:space="preserve">Cuijpers, P., Reijnders, M., &amp; Huibers, M. J. H. (2019). The role of common factors in psychotherapy outcomes.</w:t>
      </w:r>
      <w:r>
        <w:rPr>
          <w:rFonts w:ascii="바탕" w:hAnsi="바탕" w:eastAsia="바탕" w:cs="바탕"/>
          <w:sz w:val="21"/>
        </w:rPr>
        <w:t xml:space="preserve"> </w:t>
      </w:r>
      <w:r>
        <w:rPr>
          <w:rFonts w:ascii="바탕" w:hAnsi="바탕" w:eastAsia="바탕" w:cs="바탕"/>
          <w:i/>
          <w:iCs/>
          <w:sz w:val="21"/>
        </w:rPr>
        <w:t xml:space="preserve">Annual Review of Clinical Psychology, 15</w:t>
      </w:r>
      <w:r>
        <w:rPr>
          <w:rFonts w:ascii="바탕" w:hAnsi="바탕" w:eastAsia="바탕" w:cs="바탕"/>
          <w:sz w:val="21"/>
        </w:rPr>
        <w:t xml:space="preserve">, 207–231.</w:t>
      </w:r>
      <w:r>
        <w:rPr>
          <w:rFonts w:ascii="바탕" w:hAnsi="바탕" w:eastAsia="바탕" w:cs="바탕"/>
          <w:sz w:val="21"/>
        </w:rPr>
        <w:t xml:space="preserve"> </w:t>
      </w:r>
      <w:hyperlink r:id="rId53">
        <w:r>
          <w:rPr>
            <w:rStyle w:val="Hyperlink"/>
          </w:rPr>
          <w:t xml:space="preserve">https://doi.org/10.1146/annurev-clinpsy-050718-095424</w:t>
        </w:r>
      </w:hyperlink>
    </w:p>
    <w:p>
      <w:pPr>
        <w:pStyle w:val="BodyText"/>
        <w:spacing w:lineRule="auto" w:line="384" w:after="120"/>
        <w:ind w:left="720" w:hanging="720"/>
        <w:jc w:val="left"/>
      </w:pPr>
      <w:r>
        <w:rPr>
          <w:rFonts w:ascii="바탕" w:hAnsi="바탕" w:eastAsia="바탕" w:cs="바탕"/>
          <w:sz w:val="21"/>
        </w:rPr>
        <w:t xml:space="preserve">Flückiger, C., Del Re, A. C., Wampold, B. E., &amp; Horvath, A. O. (2018). The alliance in adult psychotherapy: A meta-analytic synthesis.</w:t>
      </w:r>
      <w:r>
        <w:rPr>
          <w:rFonts w:ascii="바탕" w:hAnsi="바탕" w:eastAsia="바탕" w:cs="바탕"/>
          <w:sz w:val="21"/>
        </w:rPr>
        <w:t xml:space="preserve"> </w:t>
      </w:r>
      <w:r>
        <w:rPr>
          <w:rFonts w:ascii="바탕" w:hAnsi="바탕" w:eastAsia="바탕" w:cs="바탕"/>
          <w:i/>
          <w:iCs/>
          <w:sz w:val="21"/>
        </w:rPr>
        <w:t xml:space="preserve">Psychotherapy, 55</w:t>
      </w:r>
      <w:r>
        <w:rPr>
          <w:rFonts w:ascii="바탕" w:hAnsi="바탕" w:eastAsia="바탕" w:cs="바탕"/>
          <w:sz w:val="21"/>
        </w:rPr>
        <w:t xml:space="preserve">(4), 316–340.</w:t>
      </w:r>
      <w:r>
        <w:rPr>
          <w:rFonts w:ascii="바탕" w:hAnsi="바탕" w:eastAsia="바탕" w:cs="바탕"/>
          <w:sz w:val="21"/>
        </w:rPr>
        <w:t xml:space="preserve"> </w:t>
      </w:r>
      <w:hyperlink r:id="rId54">
        <w:r>
          <w:rPr>
            <w:rStyle w:val="Hyperlink"/>
          </w:rPr>
          <w:t xml:space="preserve">https://doi.org/10.1037/pst0000172</w:t>
        </w:r>
      </w:hyperlink>
    </w:p>
    <w:p>
      <w:pPr>
        <w:pStyle w:val="BodyText"/>
        <w:spacing w:lineRule="auto" w:line="384" w:after="120"/>
        <w:ind w:left="720" w:hanging="720"/>
        <w:jc w:val="left"/>
      </w:pPr>
      <w:r>
        <w:rPr>
          <w:rFonts w:ascii="바탕" w:hAnsi="바탕" w:eastAsia="바탕" w:cs="바탕"/>
          <w:sz w:val="21"/>
        </w:rPr>
        <w:t xml:space="preserve">Hesley, J. W., &amp; Hesley, J. G. (2001).</w:t>
      </w:r>
      <w:r>
        <w:rPr>
          <w:rFonts w:ascii="바탕" w:hAnsi="바탕" w:eastAsia="바탕" w:cs="바탕"/>
          <w:sz w:val="21"/>
        </w:rPr>
        <w:t xml:space="preserve"> </w:t>
      </w:r>
      <w:r>
        <w:rPr>
          <w:rFonts w:ascii="바탕" w:hAnsi="바탕" w:eastAsia="바탕" w:cs="바탕"/>
          <w:i/>
          <w:iCs/>
          <w:sz w:val="21"/>
        </w:rPr>
        <w:t xml:space="preserve">Rent two films and let's talk in the morning: Using popular movies in psychotherapy</w:t>
      </w:r>
      <w:r>
        <w:rPr>
          <w:rFonts w:ascii="바탕" w:hAnsi="바탕" w:eastAsia="바탕" w:cs="바탕"/>
          <w:sz w:val="21"/>
        </w:rPr>
        <w:t xml:space="preserve"> </w:t>
      </w:r>
      <w:r>
        <w:rPr>
          <w:rFonts w:ascii="바탕" w:hAnsi="바탕" w:eastAsia="바탕" w:cs="바탕"/>
          <w:sz w:val="21"/>
        </w:rPr>
        <w:t xml:space="preserve">(2nd ed.). Wiley.</w:t>
      </w:r>
    </w:p>
    <w:p>
      <w:pPr>
        <w:pStyle w:val="BodyText"/>
        <w:spacing w:lineRule="auto" w:line="384" w:after="120"/>
        <w:ind w:left="720" w:hanging="720"/>
        <w:jc w:val="left"/>
      </w:pPr>
      <w:r>
        <w:rPr>
          <w:rFonts w:ascii="바탕" w:hAnsi="바탕" w:eastAsia="바탕" w:cs="바탕"/>
          <w:sz w:val="21"/>
        </w:rPr>
        <w:t xml:space="preserve">Linardon, J., Cuijpers, P., Carlbring, P., Messer, M., &amp; Fuller-Tyszkiewicz, M. (2024). Current evidence on the efficacy of mental health smartphone apps for symptoms of depression and anxiety: A meta-analysis of 176 randomized controlled trials.</w:t>
      </w:r>
      <w:r>
        <w:rPr>
          <w:rFonts w:ascii="바탕" w:hAnsi="바탕" w:eastAsia="바탕" w:cs="바탕"/>
          <w:sz w:val="21"/>
        </w:rPr>
        <w:t xml:space="preserve"> </w:t>
      </w:r>
      <w:r>
        <w:rPr>
          <w:rFonts w:ascii="바탕" w:hAnsi="바탕" w:eastAsia="바탕" w:cs="바탕"/>
          <w:i/>
          <w:iCs/>
          <w:sz w:val="21"/>
        </w:rPr>
        <w:t xml:space="preserve">World Psychiatry.</w:t>
      </w:r>
      <w:r>
        <w:rPr>
          <w:rFonts w:ascii="바탕" w:hAnsi="바탕" w:eastAsia="바탕" w:cs="바탕"/>
          <w:sz w:val="21"/>
        </w:rPr>
        <w:t xml:space="preserve"> </w:t>
      </w:r>
      <w:hyperlink r:id="rId55">
        <w:r>
          <w:rPr>
            <w:rStyle w:val="Hyperlink"/>
          </w:rPr>
          <w:t xml:space="preserve">https://pmc.ncbi.nlm.nih.gov/articles/PMC10785982/</w:t>
        </w:r>
      </w:hyperlink>
    </w:p>
    <w:p>
      <w:pPr>
        <w:pStyle w:val="BodyText"/>
        <w:spacing w:lineRule="auto" w:line="384" w:after="120"/>
        <w:ind w:left="720" w:hanging="720"/>
        <w:jc w:val="left"/>
      </w:pPr>
      <w:r>
        <w:rPr>
          <w:rFonts w:ascii="바탕" w:hAnsi="바탕" w:eastAsia="바탕" w:cs="바탕"/>
          <w:sz w:val="21"/>
        </w:rPr>
        <w:t xml:space="preserve">Liu, Y., Zhang, K., Li, Y., Yan, Z., Gao, C., Chen, R., Yuan, Z., Huang, Y., Sun, H., Gao, J., He, L., &amp; Sun, L. (2024).</w:t>
      </w:r>
      <w:r>
        <w:rPr>
          <w:rFonts w:ascii="바탕" w:hAnsi="바탕" w:eastAsia="바탕" w:cs="바탕"/>
          <w:sz w:val="21"/>
        </w:rPr>
        <w:t xml:space="preserve"> </w:t>
      </w:r>
      <w:r>
        <w:rPr>
          <w:rFonts w:ascii="바탕" w:hAnsi="바탕" w:eastAsia="바탕" w:cs="바탕"/>
          <w:i/>
          <w:iCs/>
          <w:sz w:val="21"/>
        </w:rPr>
        <w:t xml:space="preserve">Sora: A review on background, technology, limitations, and opportunities of large vision models</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56">
        <w:r>
          <w:rPr>
            <w:rStyle w:val="Hyperlink"/>
          </w:rPr>
          <w:t xml:space="preserve">https://doi.org/10.48550/arXiv.2402.17177</w:t>
        </w:r>
      </w:hyperlink>
    </w:p>
    <w:p>
      <w:pPr>
        <w:pStyle w:val="BodyText"/>
        <w:spacing w:lineRule="auto" w:line="384" w:after="120"/>
        <w:ind w:left="720" w:hanging="720"/>
        <w:jc w:val="left"/>
      </w:pPr>
      <w:r>
        <w:rPr>
          <w:rFonts w:ascii="바탕" w:hAnsi="바탕" w:eastAsia="바탕" w:cs="바탕"/>
          <w:sz w:val="21"/>
        </w:rPr>
        <w:t xml:space="preserve">Obermeyer, Z., Powers, B., Vogeli, C., &amp; Mullainathan, S. (2019). Dissecting racial bias in an algorithm used to manage the health of populations.</w:t>
      </w:r>
      <w:r>
        <w:rPr>
          <w:rFonts w:ascii="바탕" w:hAnsi="바탕" w:eastAsia="바탕" w:cs="바탕"/>
          <w:sz w:val="21"/>
        </w:rPr>
        <w:t xml:space="preserve"> </w:t>
      </w:r>
      <w:r>
        <w:rPr>
          <w:rFonts w:ascii="바탕" w:hAnsi="바탕" w:eastAsia="바탕" w:cs="바탕"/>
          <w:i/>
          <w:iCs/>
          <w:sz w:val="21"/>
        </w:rPr>
        <w:t xml:space="preserve">Science, 366</w:t>
      </w:r>
      <w:r>
        <w:rPr>
          <w:rFonts w:ascii="바탕" w:hAnsi="바탕" w:eastAsia="바탕" w:cs="바탕"/>
          <w:sz w:val="21"/>
        </w:rPr>
        <w:t xml:space="preserve">(6464), 447–453.</w:t>
      </w:r>
      <w:r>
        <w:rPr>
          <w:rFonts w:ascii="바탕" w:hAnsi="바탕" w:eastAsia="바탕" w:cs="바탕"/>
          <w:sz w:val="21"/>
        </w:rPr>
        <w:t xml:space="preserve"> </w:t>
      </w:r>
      <w:hyperlink r:id="rId57">
        <w:r>
          <w:rPr>
            <w:rStyle w:val="Hyperlink"/>
          </w:rPr>
          <w:t xml:space="preserve">https://doi.org/10.1126/science.aax2342</w:t>
        </w:r>
      </w:hyperlink>
    </w:p>
    <w:p>
      <w:pPr>
        <w:pStyle w:val="BodyText"/>
        <w:spacing w:lineRule="auto" w:line="384" w:after="120"/>
        <w:ind w:left="720" w:hanging="720"/>
        <w:jc w:val="left"/>
      </w:pPr>
      <w:r>
        <w:rPr>
          <w:rFonts w:ascii="바탕" w:hAnsi="바탕" w:eastAsia="바탕" w:cs="바탕"/>
          <w:sz w:val="21"/>
        </w:rPr>
        <w:t xml:space="preserve">Parks, A., Travers, E., Perera-Delcourt, R., Major, M., Economides, M., &amp; Mullan, P. (2025). Is this chatbot safe and evidence-based? A call for the critical evaluation of generative AI mental health chatbots.</w:t>
      </w:r>
      <w:r>
        <w:rPr>
          <w:rFonts w:ascii="바탕" w:hAnsi="바탕" w:eastAsia="바탕" w:cs="바탕"/>
          <w:sz w:val="21"/>
        </w:rPr>
        <w:t xml:space="preserve"> </w:t>
      </w:r>
      <w:r>
        <w:rPr>
          <w:rFonts w:ascii="바탕" w:hAnsi="바탕" w:eastAsia="바탕" w:cs="바탕"/>
          <w:i/>
          <w:iCs/>
          <w:sz w:val="21"/>
        </w:rPr>
        <w:t xml:space="preserve">Journal of Participatory Medicine, 17</w:t>
      </w:r>
      <w:r>
        <w:rPr>
          <w:rFonts w:ascii="바탕" w:hAnsi="바탕" w:eastAsia="바탕" w:cs="바탕"/>
          <w:sz w:val="21"/>
        </w:rPr>
        <w:t xml:space="preserve">(1), e69534.</w:t>
      </w:r>
      <w:r>
        <w:rPr>
          <w:rFonts w:ascii="바탕" w:hAnsi="바탕" w:eastAsia="바탕" w:cs="바탕"/>
          <w:sz w:val="21"/>
        </w:rPr>
        <w:t xml:space="preserve"> </w:t>
      </w:r>
      <w:hyperlink r:id="rId58">
        <w:r>
          <w:rPr>
            <w:rStyle w:val="Hyperlink"/>
          </w:rPr>
          <w:t xml:space="preserve">https://doi.org/10.2196/69534</w:t>
        </w:r>
      </w:hyperlink>
    </w:p>
    <w:p>
      <w:pPr>
        <w:pStyle w:val="BodyText"/>
        <w:spacing w:lineRule="auto" w:line="384" w:after="120"/>
        <w:ind w:left="720" w:hanging="720"/>
        <w:jc w:val="left"/>
      </w:pPr>
      <w:r>
        <w:rPr>
          <w:rFonts w:ascii="바탕" w:hAnsi="바탕" w:eastAsia="바탕" w:cs="바탕"/>
          <w:sz w:val="21"/>
        </w:rPr>
        <w:t xml:space="preserve">Sacilotto, E., Salvato, G., Villa, F., Salvi, F., &amp; Bottini, G. (2022). Through the looking glass: A scoping review of cinema and video therapy.</w:t>
      </w:r>
      <w:r>
        <w:rPr>
          <w:rFonts w:ascii="바탕" w:hAnsi="바탕" w:eastAsia="바탕" w:cs="바탕"/>
          <w:sz w:val="21"/>
        </w:rPr>
        <w:t xml:space="preserve"> </w:t>
      </w:r>
      <w:r>
        <w:rPr>
          <w:rFonts w:ascii="바탕" w:hAnsi="바탕" w:eastAsia="바탕" w:cs="바탕"/>
          <w:i/>
          <w:iCs/>
          <w:sz w:val="21"/>
        </w:rPr>
        <w:t xml:space="preserve">Frontiers in Psychology, 12</w:t>
      </w:r>
      <w:r>
        <w:rPr>
          <w:rFonts w:ascii="바탕" w:hAnsi="바탕" w:eastAsia="바탕" w:cs="바탕"/>
          <w:sz w:val="21"/>
        </w:rPr>
        <w:t xml:space="preserve">, Article 732246.</w:t>
      </w:r>
      <w:r>
        <w:rPr>
          <w:rFonts w:ascii="바탕" w:hAnsi="바탕" w:eastAsia="바탕" w:cs="바탕"/>
          <w:sz w:val="21"/>
        </w:rPr>
        <w:t xml:space="preserve"> </w:t>
      </w:r>
      <w:hyperlink r:id="rId59">
        <w:r>
          <w:rPr>
            <w:rStyle w:val="Hyperlink"/>
          </w:rPr>
          <w:t xml:space="preserve">https://doi.org/10.3389/fpsyg.2021.732246</w:t>
        </w:r>
      </w:hyperlink>
    </w:p>
    <w:p>
      <w:pPr>
        <w:pStyle w:val="BodyText"/>
        <w:spacing w:lineRule="auto" w:line="384" w:after="120"/>
        <w:ind w:left="720" w:hanging="720"/>
        <w:jc w:val="left"/>
      </w:pPr>
      <w:r>
        <w:rPr>
          <w:rFonts w:ascii="바탕" w:hAnsi="바탕" w:eastAsia="바탕" w:cs="바탕"/>
          <w:sz w:val="21"/>
        </w:rPr>
        <w:t xml:space="preserve">Sun, R., Zhang, Y., Shah, T., Sun, J., Zhang, S., Li, W., Duan, H., Wei, B., &amp; Ranjan, R. (2024).</w:t>
      </w:r>
      <w:r>
        <w:rPr>
          <w:rFonts w:ascii="바탕" w:hAnsi="바탕" w:eastAsia="바탕" w:cs="바탕"/>
          <w:sz w:val="21"/>
        </w:rPr>
        <w:t xml:space="preserve"> </w:t>
      </w:r>
      <w:r>
        <w:rPr>
          <w:rFonts w:ascii="바탕" w:hAnsi="바탕" w:eastAsia="바탕" w:cs="바탕"/>
          <w:i/>
          <w:iCs/>
          <w:sz w:val="21"/>
        </w:rPr>
        <w:t xml:space="preserve">From Sora what we can see: A survey of text-to-video generation</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60">
        <w:r>
          <w:rPr>
            <w:rStyle w:val="Hyperlink"/>
          </w:rPr>
          <w:t xml:space="preserve">https://doi.org/10.48550/arXiv.2405.10674</w:t>
        </w:r>
      </w:hyperlink>
    </w:p>
    <w:p>
      <w:pPr>
        <w:pStyle w:val="BodyText"/>
        <w:spacing w:lineRule="auto" w:line="384" w:after="120"/>
        <w:ind w:left="720" w:hanging="720"/>
        <w:jc w:val="left"/>
      </w:pPr>
      <w:r>
        <w:rPr>
          <w:rFonts w:ascii="바탕" w:hAnsi="바탕" w:eastAsia="바탕" w:cs="바탕"/>
          <w:sz w:val="21"/>
        </w:rPr>
        <w:t xml:space="preserve">Valentine, L., Hinton, J. D. X., Bajaj, K., Boyd, L., O'Sullivan, S., Sorenson, R. P., Bell, I. H., Sobredo Vega, M., Liu, P., Peters, W., Mangelsdorf, S. N., Wren, T. W., Moller, C., Cross, S., McEnery, C., Bendall, S., Nicholas, J., &amp; Alvarez-Jimenez, M. (2025). A meta-analysis of persuasive design, engagement, and efficacy in 92 RCTs of mental health apps.</w:t>
      </w:r>
      <w:r>
        <w:rPr>
          <w:rFonts w:ascii="바탕" w:hAnsi="바탕" w:eastAsia="바탕" w:cs="바탕"/>
          <w:sz w:val="21"/>
        </w:rPr>
        <w:t xml:space="preserve"> </w:t>
      </w:r>
      <w:r>
        <w:rPr>
          <w:rFonts w:ascii="바탕" w:hAnsi="바탕" w:eastAsia="바탕" w:cs="바탕"/>
          <w:i/>
          <w:iCs/>
          <w:sz w:val="21"/>
        </w:rPr>
        <w:t xml:space="preserve">npj Digital Medicine, 8</w:t>
      </w:r>
      <w:r>
        <w:rPr>
          <w:rFonts w:ascii="바탕" w:hAnsi="바탕" w:eastAsia="바탕" w:cs="바탕"/>
          <w:sz w:val="21"/>
        </w:rPr>
        <w:t xml:space="preserve">, Article 229.</w:t>
      </w:r>
      <w:r>
        <w:rPr>
          <w:rFonts w:ascii="바탕" w:hAnsi="바탕" w:eastAsia="바탕" w:cs="바탕"/>
          <w:sz w:val="21"/>
        </w:rPr>
        <w:t xml:space="preserve"> </w:t>
      </w:r>
      <w:hyperlink r:id="rId61">
        <w:r>
          <w:rPr>
            <w:rStyle w:val="Hyperlink"/>
          </w:rPr>
          <w:t xml:space="preserve">https://doi.org/10.1038/s41746-025-01567-5</w:t>
        </w:r>
      </w:hyperlink>
    </w:p>
    <w:p>
      <w:pPr>
        <w:pStyle w:val="BodyText"/>
        <w:spacing w:lineRule="auto" w:line="384" w:after="120"/>
        <w:ind w:left="720" w:hanging="720"/>
        <w:jc w:val="left"/>
      </w:pPr>
      <w:r>
        <w:rPr>
          <w:rFonts w:ascii="바탕" w:hAnsi="바탕" w:eastAsia="바탕" w:cs="바탕"/>
          <w:sz w:val="21"/>
        </w:rPr>
        <w:t xml:space="preserve">Wang, X., Zhou, Y., &amp; Zhou, G. (2025). The application and ethical implication of generative AI in mental health: Systematic review.</w:t>
      </w:r>
      <w:r>
        <w:rPr>
          <w:rFonts w:ascii="바탕" w:hAnsi="바탕" w:eastAsia="바탕" w:cs="바탕"/>
          <w:sz w:val="21"/>
        </w:rPr>
        <w:t xml:space="preserve"> </w:t>
      </w:r>
      <w:r>
        <w:rPr>
          <w:rFonts w:ascii="바탕" w:hAnsi="바탕" w:eastAsia="바탕" w:cs="바탕"/>
          <w:i/>
          <w:iCs/>
          <w:sz w:val="21"/>
        </w:rPr>
        <w:t xml:space="preserve">JMIR Mental Health, 12</w:t>
      </w:r>
      <w:r>
        <w:rPr>
          <w:rFonts w:ascii="바탕" w:hAnsi="바탕" w:eastAsia="바탕" w:cs="바탕"/>
          <w:sz w:val="21"/>
        </w:rPr>
        <w:t xml:space="preserve">, e70610.</w:t>
      </w:r>
      <w:r>
        <w:rPr>
          <w:rFonts w:ascii="바탕" w:hAnsi="바탕" w:eastAsia="바탕" w:cs="바탕"/>
          <w:sz w:val="21"/>
        </w:rPr>
        <w:t xml:space="preserve"> </w:t>
      </w:r>
      <w:hyperlink r:id="rId62">
        <w:r>
          <w:rPr>
            <w:rStyle w:val="Hyperlink"/>
          </w:rPr>
          <w:t xml:space="preserve">https://doi.org/10.2196/70610</w:t>
        </w:r>
      </w:hyperlink>
    </w:p>
    <w:p>
      <w:pPr>
        <w:pStyle w:val="BodyText"/>
        <w:spacing w:lineRule="auto" w:line="384" w:after="120"/>
        <w:ind w:left="720" w:hanging="720"/>
        <w:jc w:val="left"/>
      </w:pPr>
      <w:r>
        <w:rPr>
          <w:rFonts w:ascii="바탕" w:hAnsi="바탕" w:eastAsia="바탕" w:cs="바탕"/>
          <w:sz w:val="21"/>
        </w:rPr>
        <w:t xml:space="preserve">World Health Organization. (2021).</w:t>
      </w:r>
      <w:r>
        <w:rPr>
          <w:rFonts w:ascii="바탕" w:hAnsi="바탕" w:eastAsia="바탕" w:cs="바탕"/>
          <w:sz w:val="21"/>
        </w:rPr>
        <w:t xml:space="preserve"> </w:t>
      </w:r>
      <w:r>
        <w:rPr>
          <w:rFonts w:ascii="바탕" w:hAnsi="바탕" w:eastAsia="바탕" w:cs="바탕"/>
          <w:i/>
          <w:iCs/>
          <w:sz w:val="21"/>
        </w:rPr>
        <w:t xml:space="preserve">Ethics and governance of artificial intelligence for health: WHO guidance.</w:t>
      </w:r>
      <w:r>
        <w:rPr>
          <w:rFonts w:ascii="바탕" w:hAnsi="바탕" w:eastAsia="바탕" w:cs="바탕"/>
          <w:sz w:val="21"/>
        </w:rPr>
        <w:t xml:space="preserve"> </w:t>
      </w:r>
      <w:r>
        <w:rPr>
          <w:rFonts w:ascii="바탕" w:hAnsi="바탕" w:eastAsia="바탕" w:cs="바탕"/>
          <w:sz w:val="21"/>
        </w:rPr>
        <w:t xml:space="preserve">World Health Organization.</w:t>
      </w:r>
      <w:r>
        <w:rPr>
          <w:rFonts w:ascii="바탕" w:hAnsi="바탕" w:eastAsia="바탕" w:cs="바탕"/>
          <w:sz w:val="21"/>
        </w:rPr>
        <w:t xml:space="preserve"> </w:t>
      </w:r>
      <w:hyperlink r:id="rId63">
        <w:r>
          <w:rPr>
            <w:rStyle w:val="Hyperlink"/>
          </w:rPr>
          <w:t xml:space="preserve">https://www.who.int/publications/i/item/9789240029200</w:t>
        </w:r>
      </w:hyperlink>
    </w:p>
    <w:p>
      <w:pPr>
        <w:pStyle w:val="BodyText"/>
        <w:spacing w:lineRule="auto" w:line="384" w:after="120"/>
        <w:ind w:left="720" w:hanging="720"/>
        <w:jc w:val="left"/>
      </w:pPr>
      <w:r>
        <w:rPr>
          <w:rFonts w:ascii="바탕" w:hAnsi="바탕" w:eastAsia="바탕" w:cs="바탕"/>
          <w:sz w:val="21"/>
        </w:rPr>
        <w:t xml:space="preserve">Yalom, I. D., &amp; Leszcz, M. (2020).</w:t>
      </w:r>
      <w:r>
        <w:rPr>
          <w:rFonts w:ascii="바탕" w:hAnsi="바탕" w:eastAsia="바탕" w:cs="바탕"/>
          <w:sz w:val="21"/>
        </w:rPr>
        <w:t xml:space="preserve"> </w:t>
      </w:r>
      <w:r>
        <w:rPr>
          <w:rFonts w:ascii="바탕" w:hAnsi="바탕" w:eastAsia="바탕" w:cs="바탕"/>
          <w:i/>
          <w:iCs/>
          <w:sz w:val="21"/>
        </w:rPr>
        <w:t xml:space="preserve">The theory and practice of group psychotherapy</w:t>
      </w:r>
      <w:r>
        <w:rPr>
          <w:rFonts w:ascii="바탕" w:hAnsi="바탕" w:eastAsia="바탕" w:cs="바탕"/>
          <w:sz w:val="21"/>
        </w:rPr>
        <w:t xml:space="preserve"> </w:t>
      </w:r>
      <w:r>
        <w:rPr>
          <w:rFonts w:ascii="바탕" w:hAnsi="바탕" w:eastAsia="바탕" w:cs="바탕"/>
          <w:sz w:val="21"/>
        </w:rPr>
        <w:t xml:space="preserve">(6th ed.). Basic Books.</w:t>
      </w:r>
    </w:p>
    <w:p>
      <w:pPr>
        <w:pStyle w:val="BodyText"/>
        <w:spacing w:lineRule="auto" w:line="384" w:after="120"/>
        <w:ind w:left="720" w:hanging="720"/>
        <w:jc w:val="left"/>
      </w:pPr>
      <w:r>
        <w:rPr>
          <w:rFonts w:ascii="바탕" w:hAnsi="바탕" w:eastAsia="바탕" w:cs="바탕"/>
          <w:sz w:val="21"/>
        </w:rPr>
        <w:t xml:space="preserve">Zhang, Q., Zhang, R., Xiong, Y., Sui, Y., Tong, C., &amp; Lin, F.-H. (2025). Generative AI mental health chatbots as therapeutic tools: Systematic review and meta-analysis of their role in reducing mental health issues.</w:t>
      </w:r>
      <w:r>
        <w:rPr>
          <w:rFonts w:ascii="바탕" w:hAnsi="바탕" w:eastAsia="바탕" w:cs="바탕"/>
          <w:sz w:val="21"/>
        </w:rPr>
        <w:t xml:space="preserve"> </w:t>
      </w:r>
      <w:r>
        <w:rPr>
          <w:rFonts w:ascii="바탕" w:hAnsi="바탕" w:eastAsia="바탕" w:cs="바탕"/>
          <w:i/>
          <w:iCs/>
          <w:sz w:val="21"/>
        </w:rPr>
        <w:t xml:space="preserve">Journal of Medical Internet Research, 27</w:t>
      </w:r>
      <w:r>
        <w:rPr>
          <w:rFonts w:ascii="바탕" w:hAnsi="바탕" w:eastAsia="바탕" w:cs="바탕"/>
          <w:sz w:val="21"/>
        </w:rPr>
        <w:t xml:space="preserve">, e78238.</w:t>
      </w:r>
      <w:r>
        <w:rPr>
          <w:rFonts w:ascii="바탕" w:hAnsi="바탕" w:eastAsia="바탕" w:cs="바탕"/>
          <w:sz w:val="21"/>
        </w:rPr>
        <w:t xml:space="preserve"> </w:t>
      </w:r>
      <w:hyperlink r:id="rId64">
        <w:r>
          <w:rPr>
            <w:rStyle w:val="Hyperlink"/>
          </w:rPr>
          <w:t xml:space="preserve">https://doi.org/10.2196/78238</w:t>
        </w:r>
      </w:hyperlink>
    </w:p>
    <w:bookmarkEnd w:id="65"/>
    <w:bookmarkEnd w:id="66"/>
    <w:bookmarkEnd w:id="67"/>
    <w:sectPr>
      <w:footnotePr>
        <w:numRestart w:val="eachSect"/>
      </w:footnotePr>
      <w:pgSz w:w="11906" w:h="16838"/>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hyperlink" Target="https://doi.org/10.1037/h0085885" TargetMode="External"/><Relationship Id="rId54" Type="http://schemas.openxmlformats.org/officeDocument/2006/relationships/hyperlink" Target="https://doi.org/10.1037/pst0000172" TargetMode="External"/><Relationship Id="rId61" Type="http://schemas.openxmlformats.org/officeDocument/2006/relationships/hyperlink" Target="https://doi.org/10.1038/s41746-025-01567-5" TargetMode="External"/><Relationship Id="rId57" Type="http://schemas.openxmlformats.org/officeDocument/2006/relationships/hyperlink" Target="https://doi.org/10.1126/science.aax2342" TargetMode="External"/><Relationship Id="rId53" Type="http://schemas.openxmlformats.org/officeDocument/2006/relationships/hyperlink" Target="https://doi.org/10.1146/annurev-clinpsy-050718-095424" TargetMode="External"/><Relationship Id="rId47" Type="http://schemas.openxmlformats.org/officeDocument/2006/relationships/hyperlink" Target="https://doi.org/10.14400/JDC.2018.16.10.511" TargetMode="External"/><Relationship Id="rId49" Type="http://schemas.openxmlformats.org/officeDocument/2006/relationships/hyperlink" Target="https://doi.org/10.15703/kjc.23.6.202212.17" TargetMode="External"/><Relationship Id="rId48" Type="http://schemas.openxmlformats.org/officeDocument/2006/relationships/hyperlink" Target="https://doi.org/10.20496/cpew.2025.12.5.11" TargetMode="External"/><Relationship Id="rId58" Type="http://schemas.openxmlformats.org/officeDocument/2006/relationships/hyperlink" Target="https://doi.org/10.2196/69534" TargetMode="External"/><Relationship Id="rId62" Type="http://schemas.openxmlformats.org/officeDocument/2006/relationships/hyperlink" Target="https://doi.org/10.2196/70610" TargetMode="External"/><Relationship Id="rId64" Type="http://schemas.openxmlformats.org/officeDocument/2006/relationships/hyperlink" Target="https://doi.org/10.2196/78238" TargetMode="External"/><Relationship Id="rId59" Type="http://schemas.openxmlformats.org/officeDocument/2006/relationships/hyperlink" Target="https://doi.org/10.3389/fpsyg.2021.732246" TargetMode="External"/><Relationship Id="rId46" Type="http://schemas.openxmlformats.org/officeDocument/2006/relationships/hyperlink" Target="https://doi.org/10.35151/kyci.2011.19.2.002" TargetMode="External"/><Relationship Id="rId56" Type="http://schemas.openxmlformats.org/officeDocument/2006/relationships/hyperlink" Target="https://doi.org/10.48550/arXiv.2402.17177" TargetMode="External"/><Relationship Id="rId60" Type="http://schemas.openxmlformats.org/officeDocument/2006/relationships/hyperlink" Target="https://doi.org/10.48550/arXiv.2405.10674" TargetMode="External"/><Relationship Id="rId55" Type="http://schemas.openxmlformats.org/officeDocument/2006/relationships/hyperlink" Target="https://pmc.ncbi.nlm.nih.gov/articles/PMC10785982/" TargetMode="External"/><Relationship Id="rId51" Type="http://schemas.openxmlformats.org/officeDocument/2006/relationships/hyperlink" Target="https://www.apaservices.org/practice/ce/expert/ethical-genai-mental-health-care" TargetMode="External"/><Relationship Id="rId63" Type="http://schemas.openxmlformats.org/officeDocument/2006/relationships/hyperlink" Target="https://www.who.int/publications/i/item/9789240029200"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doi.org/10.1037/h0085885" TargetMode="External"/><Relationship Id="rId54" Type="http://schemas.openxmlformats.org/officeDocument/2006/relationships/hyperlink" Target="https://doi.org/10.1037/pst0000172" TargetMode="External"/><Relationship Id="rId61" Type="http://schemas.openxmlformats.org/officeDocument/2006/relationships/hyperlink" Target="https://doi.org/10.1038/s41746-025-01567-5" TargetMode="External"/><Relationship Id="rId57" Type="http://schemas.openxmlformats.org/officeDocument/2006/relationships/hyperlink" Target="https://doi.org/10.1126/science.aax2342" TargetMode="External"/><Relationship Id="rId53" Type="http://schemas.openxmlformats.org/officeDocument/2006/relationships/hyperlink" Target="https://doi.org/10.1146/annurev-clinpsy-050718-095424" TargetMode="External"/><Relationship Id="rId47" Type="http://schemas.openxmlformats.org/officeDocument/2006/relationships/hyperlink" Target="https://doi.org/10.14400/JDC.2018.16.10.511" TargetMode="External"/><Relationship Id="rId49" Type="http://schemas.openxmlformats.org/officeDocument/2006/relationships/hyperlink" Target="https://doi.org/10.15703/kjc.23.6.202212.17" TargetMode="External"/><Relationship Id="rId48" Type="http://schemas.openxmlformats.org/officeDocument/2006/relationships/hyperlink" Target="https://doi.org/10.20496/cpew.2025.12.5.11" TargetMode="External"/><Relationship Id="rId58" Type="http://schemas.openxmlformats.org/officeDocument/2006/relationships/hyperlink" Target="https://doi.org/10.2196/69534" TargetMode="External"/><Relationship Id="rId62" Type="http://schemas.openxmlformats.org/officeDocument/2006/relationships/hyperlink" Target="https://doi.org/10.2196/70610" TargetMode="External"/><Relationship Id="rId64" Type="http://schemas.openxmlformats.org/officeDocument/2006/relationships/hyperlink" Target="https://doi.org/10.2196/78238" TargetMode="External"/><Relationship Id="rId59" Type="http://schemas.openxmlformats.org/officeDocument/2006/relationships/hyperlink" Target="https://doi.org/10.3389/fpsyg.2021.732246" TargetMode="External"/><Relationship Id="rId46" Type="http://schemas.openxmlformats.org/officeDocument/2006/relationships/hyperlink" Target="https://doi.org/10.35151/kyci.2011.19.2.002" TargetMode="External"/><Relationship Id="rId56" Type="http://schemas.openxmlformats.org/officeDocument/2006/relationships/hyperlink" Target="https://doi.org/10.48550/arXiv.2402.17177" TargetMode="External"/><Relationship Id="rId60" Type="http://schemas.openxmlformats.org/officeDocument/2006/relationships/hyperlink" Target="https://doi.org/10.48550/arXiv.2405.10674" TargetMode="External"/><Relationship Id="rId55" Type="http://schemas.openxmlformats.org/officeDocument/2006/relationships/hyperlink" Target="https://pmc.ncbi.nlm.nih.gov/articles/PMC10785982/" TargetMode="External"/><Relationship Id="rId51" Type="http://schemas.openxmlformats.org/officeDocument/2006/relationships/hyperlink" Target="https://www.apaservices.org/practice/ce/expert/ethical-genai-mental-health-care" TargetMode="External"/><Relationship Id="rId63" Type="http://schemas.openxmlformats.org/officeDocument/2006/relationships/hyperlink" Target="https://www.who.int/publications/i/item/978924002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2026-05-22T16:23:17Z</dcterms:created>
  <dcterms:modified xsi:type="dcterms:W3CDTF">2026-05-22T16:23:17Z</dcterms:modified>
</cp:coreProperties>
</file>

<file path=docProps/custom.xml><?xml version="1.0" encoding="utf-8"?>
<Properties xmlns="http://schemas.openxmlformats.org/officeDocument/2006/custom-properties" xmlns:vt="http://schemas.openxmlformats.org/officeDocument/2006/docPropsVTypes"/>
</file>